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8B20C" w14:textId="77777777" w:rsidR="002B1F19" w:rsidRDefault="00F80E55">
      <w:pPr>
        <w:ind w:firstLine="720"/>
        <w:jc w:val="center"/>
        <w:rPr>
          <w:rFonts w:ascii="Garamond" w:eastAsia="Garamond" w:hAnsi="Garamond" w:cs="Garamond"/>
          <w:b/>
          <w:sz w:val="36"/>
          <w:szCs w:val="36"/>
        </w:rPr>
      </w:pPr>
      <w:bookmarkStart w:id="0" w:name="_GoBack"/>
      <w:bookmarkEnd w:id="0"/>
      <w:r>
        <w:rPr>
          <w:rFonts w:ascii="Garamond" w:eastAsia="Garamond" w:hAnsi="Garamond" w:cs="Garamond"/>
          <w:b/>
          <w:sz w:val="36"/>
          <w:szCs w:val="36"/>
        </w:rPr>
        <w:t>Situación actual de la investigación en la Universidad de Caldas</w:t>
      </w:r>
    </w:p>
    <w:p w14:paraId="6C033C1E" w14:textId="77777777" w:rsidR="002B1F19" w:rsidRDefault="002B1F19">
      <w:pPr>
        <w:ind w:firstLine="720"/>
        <w:jc w:val="center"/>
        <w:rPr>
          <w:rFonts w:ascii="Garamond" w:eastAsia="Garamond" w:hAnsi="Garamond" w:cs="Garamond"/>
          <w:b/>
          <w:sz w:val="24"/>
          <w:szCs w:val="24"/>
        </w:rPr>
      </w:pPr>
    </w:p>
    <w:p w14:paraId="532628DC" w14:textId="77777777" w:rsidR="002B1F19" w:rsidRDefault="002B1F19">
      <w:pPr>
        <w:rPr>
          <w:rFonts w:ascii="Garamond" w:eastAsia="Garamond" w:hAnsi="Garamond" w:cs="Garamond"/>
          <w:sz w:val="24"/>
          <w:szCs w:val="24"/>
        </w:rPr>
      </w:pPr>
    </w:p>
    <w:p w14:paraId="79FA515E" w14:textId="77777777" w:rsidR="002B1F19" w:rsidRDefault="00F80E55">
      <w:pPr>
        <w:numPr>
          <w:ilvl w:val="0"/>
          <w:numId w:val="1"/>
        </w:numPr>
        <w:rPr>
          <w:rFonts w:ascii="Garamond" w:eastAsia="Garamond" w:hAnsi="Garamond" w:cs="Garamond"/>
          <w:b/>
          <w:sz w:val="24"/>
          <w:szCs w:val="24"/>
        </w:rPr>
      </w:pPr>
      <w:r>
        <w:rPr>
          <w:rFonts w:ascii="Garamond" w:eastAsia="Garamond" w:hAnsi="Garamond" w:cs="Garamond"/>
          <w:b/>
          <w:sz w:val="24"/>
          <w:szCs w:val="24"/>
        </w:rPr>
        <w:t>La investigación en el marco del Plan de Desarrollo Institucional 2009-2018</w:t>
      </w:r>
    </w:p>
    <w:p w14:paraId="13106E00" w14:textId="77777777" w:rsidR="002B1F19" w:rsidRDefault="002B1F19">
      <w:pPr>
        <w:jc w:val="both"/>
        <w:rPr>
          <w:rFonts w:ascii="Garamond" w:eastAsia="Garamond" w:hAnsi="Garamond" w:cs="Garamond"/>
          <w:sz w:val="24"/>
          <w:szCs w:val="24"/>
        </w:rPr>
      </w:pPr>
    </w:p>
    <w:p w14:paraId="7858AA5F"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El Plan de Desarrollo Institucional 2009-2018 consideró dos aspectos centrales con relación a la investigación: la cualificación docente orientada a la formación doctoral y el desarrollo de las ciencias, las artes y las tecnología como estrategia para incr</w:t>
      </w:r>
      <w:r>
        <w:rPr>
          <w:rFonts w:ascii="Garamond" w:eastAsia="Garamond" w:hAnsi="Garamond" w:cs="Garamond"/>
          <w:sz w:val="24"/>
          <w:szCs w:val="24"/>
        </w:rPr>
        <w:t>ementar el conocimiento en diferentes áreas de acuerdo con la necesidades del entorno y de manera articulada con las instituciones y actores del desarrollo. Además se incluyeron otros factores: la participación en redes de conocimiento y la articulación co</w:t>
      </w:r>
      <w:r>
        <w:rPr>
          <w:rFonts w:ascii="Garamond" w:eastAsia="Garamond" w:hAnsi="Garamond" w:cs="Garamond"/>
          <w:sz w:val="24"/>
          <w:szCs w:val="24"/>
        </w:rPr>
        <w:t>n el Sistema Nacional de Ciencia, Tecnología e Innovación (SNCTI).</w:t>
      </w:r>
    </w:p>
    <w:p w14:paraId="7C8CFD70" w14:textId="77777777" w:rsidR="002B1F19" w:rsidRDefault="002B1F19">
      <w:pPr>
        <w:jc w:val="both"/>
        <w:rPr>
          <w:rFonts w:ascii="Garamond" w:eastAsia="Garamond" w:hAnsi="Garamond" w:cs="Garamond"/>
          <w:sz w:val="24"/>
          <w:szCs w:val="24"/>
        </w:rPr>
      </w:pPr>
    </w:p>
    <w:p w14:paraId="47E3A680" w14:textId="77777777" w:rsidR="002B1F19" w:rsidRDefault="002B1F19">
      <w:pPr>
        <w:jc w:val="both"/>
        <w:rPr>
          <w:rFonts w:ascii="Garamond" w:eastAsia="Garamond" w:hAnsi="Garamond" w:cs="Garamond"/>
          <w:sz w:val="24"/>
          <w:szCs w:val="24"/>
        </w:rPr>
      </w:pPr>
    </w:p>
    <w:p w14:paraId="03775D3D" w14:textId="77777777" w:rsidR="002B1F19" w:rsidRDefault="00F80E55">
      <w:pPr>
        <w:jc w:val="both"/>
        <w:rPr>
          <w:rFonts w:ascii="Garamond" w:eastAsia="Garamond" w:hAnsi="Garamond" w:cs="Garamond"/>
          <w:i/>
          <w:sz w:val="24"/>
          <w:szCs w:val="24"/>
        </w:rPr>
      </w:pPr>
      <w:r>
        <w:rPr>
          <w:rFonts w:ascii="Garamond" w:eastAsia="Garamond" w:hAnsi="Garamond" w:cs="Garamond"/>
          <w:i/>
          <w:sz w:val="24"/>
          <w:szCs w:val="24"/>
        </w:rPr>
        <w:t>a. Programas de formación avanzada y postgrados</w:t>
      </w:r>
    </w:p>
    <w:p w14:paraId="15408D62" w14:textId="77777777" w:rsidR="002B1F19" w:rsidRDefault="002B1F19">
      <w:pPr>
        <w:jc w:val="both"/>
        <w:rPr>
          <w:rFonts w:ascii="Garamond" w:eastAsia="Garamond" w:hAnsi="Garamond" w:cs="Garamond"/>
          <w:sz w:val="24"/>
          <w:szCs w:val="24"/>
        </w:rPr>
      </w:pPr>
    </w:p>
    <w:p w14:paraId="687CA01F" w14:textId="77777777" w:rsidR="002B1F19" w:rsidRDefault="002B1F19">
      <w:pPr>
        <w:jc w:val="both"/>
        <w:rPr>
          <w:rFonts w:ascii="Garamond" w:eastAsia="Garamond" w:hAnsi="Garamond" w:cs="Garamond"/>
          <w:sz w:val="24"/>
          <w:szCs w:val="24"/>
        </w:rPr>
      </w:pPr>
    </w:p>
    <w:p w14:paraId="1017B5F5" w14:textId="77777777" w:rsidR="002B1F19" w:rsidRDefault="00F80E55">
      <w:pPr>
        <w:jc w:val="center"/>
        <w:rPr>
          <w:rFonts w:ascii="Garamond" w:eastAsia="Garamond" w:hAnsi="Garamond" w:cs="Garamond"/>
          <w:b/>
          <w:sz w:val="24"/>
          <w:szCs w:val="24"/>
        </w:rPr>
      </w:pPr>
      <w:r>
        <w:rPr>
          <w:rFonts w:ascii="Garamond" w:eastAsia="Garamond" w:hAnsi="Garamond" w:cs="Garamond"/>
          <w:b/>
          <w:sz w:val="24"/>
          <w:szCs w:val="24"/>
        </w:rPr>
        <w:t>Ilustración 1. Programas de formación avanzada – Postgrados</w:t>
      </w:r>
    </w:p>
    <w:p w14:paraId="78AC32AB" w14:textId="77777777" w:rsidR="002B1F19" w:rsidRDefault="002B1F19">
      <w:pPr>
        <w:jc w:val="both"/>
        <w:rPr>
          <w:rFonts w:ascii="Garamond" w:eastAsia="Garamond" w:hAnsi="Garamond" w:cs="Garamond"/>
          <w:sz w:val="24"/>
          <w:szCs w:val="24"/>
        </w:rPr>
      </w:pPr>
    </w:p>
    <w:p w14:paraId="0120D2F2" w14:textId="77777777" w:rsidR="002B1F19" w:rsidRDefault="00F80E55">
      <w:pPr>
        <w:spacing w:line="240" w:lineRule="auto"/>
        <w:jc w:val="center"/>
        <w:rPr>
          <w:rFonts w:ascii="Garamond" w:eastAsia="Garamond" w:hAnsi="Garamond" w:cs="Garamond"/>
          <w:sz w:val="24"/>
          <w:szCs w:val="24"/>
        </w:rPr>
      </w:pPr>
      <w:r>
        <w:rPr>
          <w:rFonts w:ascii="Cambria" w:eastAsia="Cambria" w:hAnsi="Cambria" w:cs="Cambria"/>
          <w:noProof/>
          <w:sz w:val="24"/>
          <w:szCs w:val="24"/>
        </w:rPr>
        <w:drawing>
          <wp:inline distT="0" distB="0" distL="0" distR="0" wp14:anchorId="7D8CA5CA" wp14:editId="17C12A3A">
            <wp:extent cx="3981450" cy="2187575"/>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t="6639"/>
                    <a:stretch>
                      <a:fillRect/>
                    </a:stretch>
                  </pic:blipFill>
                  <pic:spPr>
                    <a:xfrm>
                      <a:off x="0" y="0"/>
                      <a:ext cx="3981450" cy="2187575"/>
                    </a:xfrm>
                    <a:prstGeom prst="rect">
                      <a:avLst/>
                    </a:prstGeom>
                    <a:ln/>
                  </pic:spPr>
                </pic:pic>
              </a:graphicData>
            </a:graphic>
          </wp:inline>
        </w:drawing>
      </w:r>
    </w:p>
    <w:p w14:paraId="6349351A" w14:textId="77777777" w:rsidR="002B1F19" w:rsidRDefault="00F80E55">
      <w:pPr>
        <w:jc w:val="center"/>
        <w:rPr>
          <w:rFonts w:ascii="Garamond" w:eastAsia="Garamond" w:hAnsi="Garamond" w:cs="Garamond"/>
          <w:sz w:val="24"/>
          <w:szCs w:val="24"/>
        </w:rPr>
      </w:pPr>
      <w:r>
        <w:rPr>
          <w:rFonts w:ascii="Garamond" w:eastAsia="Garamond" w:hAnsi="Garamond" w:cs="Garamond"/>
          <w:sz w:val="24"/>
          <w:szCs w:val="24"/>
        </w:rPr>
        <w:t>Fuente: Oficina Asesora de Planeación y Sistemas</w:t>
      </w:r>
    </w:p>
    <w:p w14:paraId="0A870037" w14:textId="77777777" w:rsidR="002B1F19" w:rsidRDefault="002B1F19">
      <w:pPr>
        <w:jc w:val="both"/>
        <w:rPr>
          <w:rFonts w:ascii="Garamond" w:eastAsia="Garamond" w:hAnsi="Garamond" w:cs="Garamond"/>
          <w:sz w:val="24"/>
          <w:szCs w:val="24"/>
        </w:rPr>
      </w:pPr>
    </w:p>
    <w:p w14:paraId="781FEDC8"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Al finalizar la vigencia</w:t>
      </w:r>
      <w:r>
        <w:rPr>
          <w:rFonts w:ascii="Garamond" w:eastAsia="Garamond" w:hAnsi="Garamond" w:cs="Garamond"/>
          <w:sz w:val="24"/>
          <w:szCs w:val="24"/>
        </w:rPr>
        <w:t xml:space="preserve"> del Plan de Desarrollo en el año 2018, la Universidad contaba con 59 programas de posgrado activos, 64 de éstos con registro calificado (8 Doctorados, 31 Maestrías y 25 Especializaciones) con una población estudiantil cercana a los </w:t>
      </w:r>
      <w:r>
        <w:rPr>
          <w:rFonts w:ascii="Garamond" w:eastAsia="Garamond" w:hAnsi="Garamond" w:cs="Garamond"/>
          <w:sz w:val="24"/>
          <w:szCs w:val="24"/>
          <w:shd w:val="clear" w:color="auto" w:fill="B6D7A8"/>
        </w:rPr>
        <w:t>1300 estudiantes matric</w:t>
      </w:r>
      <w:r>
        <w:rPr>
          <w:rFonts w:ascii="Garamond" w:eastAsia="Garamond" w:hAnsi="Garamond" w:cs="Garamond"/>
          <w:sz w:val="24"/>
          <w:szCs w:val="24"/>
          <w:shd w:val="clear" w:color="auto" w:fill="B6D7A8"/>
        </w:rPr>
        <w:t>ulados.</w:t>
      </w:r>
      <w:r>
        <w:rPr>
          <w:rFonts w:ascii="Garamond" w:eastAsia="Garamond" w:hAnsi="Garamond" w:cs="Garamond"/>
          <w:sz w:val="24"/>
          <w:szCs w:val="24"/>
        </w:rPr>
        <w:t xml:space="preserve"> Cabe destacar que el 13 % de dicha población contaba con becas o apoyos otorgados por entidades externas.</w:t>
      </w:r>
    </w:p>
    <w:p w14:paraId="7BF20D82" w14:textId="77777777" w:rsidR="002B1F19" w:rsidRDefault="002B1F19">
      <w:pPr>
        <w:jc w:val="both"/>
        <w:rPr>
          <w:rFonts w:ascii="Garamond" w:eastAsia="Garamond" w:hAnsi="Garamond" w:cs="Garamond"/>
          <w:sz w:val="24"/>
          <w:szCs w:val="24"/>
        </w:rPr>
      </w:pPr>
    </w:p>
    <w:p w14:paraId="0FFD3E2C"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En relación con el cumplimiento de la meta referida al número de programas de posgrado para la vigencia del Plan de Desarrollo, se registró u</w:t>
      </w:r>
      <w:r>
        <w:rPr>
          <w:rFonts w:ascii="Garamond" w:eastAsia="Garamond" w:hAnsi="Garamond" w:cs="Garamond"/>
          <w:sz w:val="24"/>
          <w:szCs w:val="24"/>
        </w:rPr>
        <w:t xml:space="preserve">n cumplimiento del 99%. Al comparar este resultado con el número de posgrados existentes en la institución durante la vigencia 2009-2018, se observa un incremento anual que respondió, en términos generales, a las metas establecidas.  </w:t>
      </w:r>
    </w:p>
    <w:p w14:paraId="0146E0E6" w14:textId="77777777" w:rsidR="002B1F19" w:rsidRDefault="002B1F19">
      <w:pPr>
        <w:jc w:val="both"/>
        <w:rPr>
          <w:rFonts w:ascii="Garamond" w:eastAsia="Garamond" w:hAnsi="Garamond" w:cs="Garamond"/>
          <w:sz w:val="24"/>
          <w:szCs w:val="24"/>
        </w:rPr>
      </w:pPr>
    </w:p>
    <w:p w14:paraId="172E92E7" w14:textId="77777777" w:rsidR="002B1F19" w:rsidRDefault="00F80E55">
      <w:pPr>
        <w:jc w:val="both"/>
        <w:rPr>
          <w:rFonts w:ascii="Garamond" w:eastAsia="Garamond" w:hAnsi="Garamond" w:cs="Garamond"/>
          <w:i/>
          <w:sz w:val="24"/>
          <w:szCs w:val="24"/>
        </w:rPr>
      </w:pPr>
      <w:r>
        <w:rPr>
          <w:rFonts w:ascii="Garamond" w:eastAsia="Garamond" w:hAnsi="Garamond" w:cs="Garamond"/>
          <w:i/>
          <w:sz w:val="24"/>
          <w:szCs w:val="24"/>
        </w:rPr>
        <w:t xml:space="preserve">b. Alianzas y redes </w:t>
      </w:r>
      <w:r>
        <w:rPr>
          <w:rFonts w:ascii="Garamond" w:eastAsia="Garamond" w:hAnsi="Garamond" w:cs="Garamond"/>
          <w:i/>
          <w:sz w:val="24"/>
          <w:szCs w:val="24"/>
        </w:rPr>
        <w:t>de investigación</w:t>
      </w:r>
    </w:p>
    <w:p w14:paraId="70C655FF" w14:textId="77777777" w:rsidR="002B1F19" w:rsidRDefault="002B1F19">
      <w:pPr>
        <w:ind w:firstLine="720"/>
        <w:jc w:val="center"/>
        <w:rPr>
          <w:rFonts w:ascii="Garamond" w:eastAsia="Garamond" w:hAnsi="Garamond" w:cs="Garamond"/>
          <w:b/>
          <w:sz w:val="24"/>
          <w:szCs w:val="24"/>
        </w:rPr>
      </w:pPr>
    </w:p>
    <w:p w14:paraId="03DE182E"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Respecto a la formalización de alianzas en investigación, proyección y docencia, la meta fijada para el año 2018 era de 200 alianzas. Cabe señalar que para el año 2018 se observa una disminución en 49 alianzas, disminuyendo el total de es</w:t>
      </w:r>
      <w:r>
        <w:rPr>
          <w:rFonts w:ascii="Garamond" w:eastAsia="Garamond" w:hAnsi="Garamond" w:cs="Garamond"/>
          <w:sz w:val="24"/>
          <w:szCs w:val="24"/>
        </w:rPr>
        <w:t>tas a 134. Estos resultados conducen a la necesidad de llevar a cabo un registro sistemático de alianzas y redes existentes (académicas, de investigación y proyección) que permita realizar un seguimiento permanente, medir el impacto de las mismas y estable</w:t>
      </w:r>
      <w:r>
        <w:rPr>
          <w:rFonts w:ascii="Garamond" w:eastAsia="Garamond" w:hAnsi="Garamond" w:cs="Garamond"/>
          <w:sz w:val="24"/>
          <w:szCs w:val="24"/>
        </w:rPr>
        <w:t xml:space="preserve">cer los correctivos requeridos. Este aspecto cobra vital importancia en términos de la internacionalización y de una mayor visibilidad del quehacer institucional en sus funciones misionales. </w:t>
      </w:r>
    </w:p>
    <w:p w14:paraId="7A52543B" w14:textId="77777777" w:rsidR="002B1F19" w:rsidRDefault="002B1F19">
      <w:pPr>
        <w:jc w:val="both"/>
        <w:rPr>
          <w:rFonts w:ascii="Garamond" w:eastAsia="Garamond" w:hAnsi="Garamond" w:cs="Garamond"/>
          <w:sz w:val="24"/>
          <w:szCs w:val="24"/>
        </w:rPr>
      </w:pPr>
    </w:p>
    <w:p w14:paraId="43764C20" w14:textId="77777777" w:rsidR="002B1F19" w:rsidRDefault="002B1F19">
      <w:pPr>
        <w:jc w:val="both"/>
        <w:rPr>
          <w:rFonts w:ascii="Garamond" w:eastAsia="Garamond" w:hAnsi="Garamond" w:cs="Garamond"/>
          <w:sz w:val="24"/>
          <w:szCs w:val="24"/>
        </w:rPr>
      </w:pPr>
    </w:p>
    <w:p w14:paraId="2C5348A9" w14:textId="77777777" w:rsidR="002B1F19" w:rsidRDefault="00F80E55">
      <w:pPr>
        <w:jc w:val="center"/>
        <w:rPr>
          <w:rFonts w:ascii="Garamond" w:eastAsia="Garamond" w:hAnsi="Garamond" w:cs="Garamond"/>
          <w:b/>
          <w:sz w:val="24"/>
          <w:szCs w:val="24"/>
        </w:rPr>
      </w:pPr>
      <w:r>
        <w:rPr>
          <w:rFonts w:ascii="Garamond" w:eastAsia="Garamond" w:hAnsi="Garamond" w:cs="Garamond"/>
          <w:b/>
          <w:sz w:val="24"/>
          <w:szCs w:val="24"/>
        </w:rPr>
        <w:t>Ilustración 2. Alianzas de investigación y proyección</w:t>
      </w:r>
    </w:p>
    <w:p w14:paraId="1217377D" w14:textId="77777777" w:rsidR="002B1F19" w:rsidRDefault="002B1F19">
      <w:pPr>
        <w:jc w:val="center"/>
        <w:rPr>
          <w:rFonts w:ascii="Garamond" w:eastAsia="Garamond" w:hAnsi="Garamond" w:cs="Garamond"/>
          <w:b/>
          <w:sz w:val="24"/>
          <w:szCs w:val="24"/>
        </w:rPr>
      </w:pPr>
    </w:p>
    <w:p w14:paraId="1FB883D0" w14:textId="77777777" w:rsidR="002B1F19" w:rsidRDefault="00F80E55">
      <w:pPr>
        <w:spacing w:line="240" w:lineRule="auto"/>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687D9FA7" wp14:editId="3662A66E">
            <wp:extent cx="3672187" cy="1908810"/>
            <wp:effectExtent l="0" t="0" r="0" b="0"/>
            <wp:docPr id="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
                    <a:srcRect t="12788"/>
                    <a:stretch>
                      <a:fillRect/>
                    </a:stretch>
                  </pic:blipFill>
                  <pic:spPr>
                    <a:xfrm>
                      <a:off x="0" y="0"/>
                      <a:ext cx="3672187" cy="1908810"/>
                    </a:xfrm>
                    <a:prstGeom prst="rect">
                      <a:avLst/>
                    </a:prstGeom>
                    <a:ln/>
                  </pic:spPr>
                </pic:pic>
              </a:graphicData>
            </a:graphic>
          </wp:inline>
        </w:drawing>
      </w:r>
    </w:p>
    <w:p w14:paraId="04A58E65" w14:textId="77777777" w:rsidR="002B1F19" w:rsidRDefault="00F80E55">
      <w:pPr>
        <w:spacing w:line="240" w:lineRule="auto"/>
        <w:ind w:left="720"/>
        <w:jc w:val="center"/>
        <w:rPr>
          <w:rFonts w:ascii="Garamond" w:eastAsia="Garamond" w:hAnsi="Garamond" w:cs="Garamond"/>
          <w:sz w:val="24"/>
          <w:szCs w:val="24"/>
        </w:rPr>
      </w:pPr>
      <w:r>
        <w:rPr>
          <w:rFonts w:ascii="Garamond" w:eastAsia="Garamond" w:hAnsi="Garamond" w:cs="Garamond"/>
          <w:sz w:val="18"/>
          <w:szCs w:val="18"/>
        </w:rPr>
        <w:t>Fuente: Oficina Asesora de Planeación y Sistemas</w:t>
      </w:r>
    </w:p>
    <w:p w14:paraId="5E546546" w14:textId="77777777" w:rsidR="002B1F19" w:rsidRDefault="002B1F19">
      <w:pPr>
        <w:spacing w:line="240" w:lineRule="auto"/>
        <w:jc w:val="both"/>
        <w:rPr>
          <w:rFonts w:ascii="Garamond" w:eastAsia="Garamond" w:hAnsi="Garamond" w:cs="Garamond"/>
          <w:sz w:val="24"/>
          <w:szCs w:val="24"/>
        </w:rPr>
      </w:pPr>
    </w:p>
    <w:p w14:paraId="66BE0B30" w14:textId="77777777" w:rsidR="002B1F19" w:rsidRDefault="00F80E55">
      <w:pPr>
        <w:spacing w:line="240" w:lineRule="auto"/>
        <w:jc w:val="both"/>
        <w:rPr>
          <w:rFonts w:ascii="Garamond" w:eastAsia="Garamond" w:hAnsi="Garamond" w:cs="Garamond"/>
          <w:i/>
          <w:sz w:val="24"/>
          <w:szCs w:val="24"/>
        </w:rPr>
      </w:pPr>
      <w:r>
        <w:rPr>
          <w:rFonts w:ascii="Garamond" w:eastAsia="Garamond" w:hAnsi="Garamond" w:cs="Garamond"/>
          <w:i/>
          <w:sz w:val="24"/>
          <w:szCs w:val="24"/>
        </w:rPr>
        <w:t>c. Programas de posgrado con doble titulación</w:t>
      </w:r>
    </w:p>
    <w:p w14:paraId="23C02BB2" w14:textId="77777777" w:rsidR="002B1F19" w:rsidRDefault="002B1F19">
      <w:pPr>
        <w:spacing w:line="240" w:lineRule="auto"/>
        <w:jc w:val="both"/>
        <w:rPr>
          <w:rFonts w:ascii="Garamond" w:eastAsia="Garamond" w:hAnsi="Garamond" w:cs="Garamond"/>
          <w:sz w:val="24"/>
          <w:szCs w:val="24"/>
        </w:rPr>
      </w:pPr>
    </w:p>
    <w:p w14:paraId="1E591DCA" w14:textId="77777777" w:rsidR="002B1F19" w:rsidRDefault="00F80E55">
      <w:pPr>
        <w:spacing w:line="240" w:lineRule="auto"/>
        <w:jc w:val="both"/>
        <w:rPr>
          <w:rFonts w:ascii="Garamond" w:eastAsia="Garamond" w:hAnsi="Garamond" w:cs="Garamond"/>
          <w:sz w:val="24"/>
          <w:szCs w:val="24"/>
          <w:shd w:val="clear" w:color="auto" w:fill="A4C2F4"/>
        </w:rPr>
      </w:pPr>
      <w:r>
        <w:rPr>
          <w:rFonts w:ascii="Garamond" w:eastAsia="Garamond" w:hAnsi="Garamond" w:cs="Garamond"/>
          <w:sz w:val="24"/>
          <w:szCs w:val="24"/>
        </w:rPr>
        <w:t>Al finalizar el año 2018 la Universidad de Caldas contaba con 5 maestrías con opción de doble titulación y 1 doctorado con un cumplimiento de la meta del 75%. Se destaca la importancia que reviste la doble titulación de los programas de posgrado como una e</w:t>
      </w:r>
      <w:r>
        <w:rPr>
          <w:rFonts w:ascii="Garamond" w:eastAsia="Garamond" w:hAnsi="Garamond" w:cs="Garamond"/>
          <w:sz w:val="24"/>
          <w:szCs w:val="24"/>
        </w:rPr>
        <w:t>strategia que contribuye a la internacionalización de dichos programas, a la cualificación de los mismos con base en referentes externos de reconocida calidad. Lo anterior debe propiciar la movilidad internacional de los estudiantes, la formalización de re</w:t>
      </w:r>
      <w:r>
        <w:rPr>
          <w:rFonts w:ascii="Garamond" w:eastAsia="Garamond" w:hAnsi="Garamond" w:cs="Garamond"/>
          <w:sz w:val="24"/>
          <w:szCs w:val="24"/>
        </w:rPr>
        <w:t xml:space="preserve">des académicas para la generación de conocimiento y la construcción de agendas de trabajo colaborativo. </w:t>
      </w:r>
    </w:p>
    <w:p w14:paraId="5BD884DB" w14:textId="77777777" w:rsidR="002B1F19" w:rsidRDefault="002B1F19">
      <w:pPr>
        <w:spacing w:line="240" w:lineRule="auto"/>
        <w:jc w:val="both"/>
        <w:rPr>
          <w:rFonts w:ascii="Garamond" w:eastAsia="Garamond" w:hAnsi="Garamond" w:cs="Garamond"/>
          <w:sz w:val="24"/>
          <w:szCs w:val="24"/>
        </w:rPr>
      </w:pPr>
    </w:p>
    <w:p w14:paraId="1C6DA16C" w14:textId="77777777" w:rsidR="002B1F19" w:rsidRDefault="00F80E55">
      <w:pPr>
        <w:spacing w:line="240" w:lineRule="auto"/>
        <w:jc w:val="center"/>
        <w:rPr>
          <w:rFonts w:ascii="Garamond" w:eastAsia="Garamond" w:hAnsi="Garamond" w:cs="Garamond"/>
          <w:sz w:val="24"/>
          <w:szCs w:val="24"/>
        </w:rPr>
      </w:pPr>
      <w:r>
        <w:rPr>
          <w:rFonts w:ascii="Garamond" w:eastAsia="Garamond" w:hAnsi="Garamond" w:cs="Garamond"/>
          <w:sz w:val="24"/>
          <w:szCs w:val="24"/>
        </w:rPr>
        <w:t>Tabla 1. Programas de posgrado con doble titulación</w:t>
      </w:r>
    </w:p>
    <w:p w14:paraId="34D67A3C" w14:textId="77777777" w:rsidR="002B1F19" w:rsidRDefault="002B1F19">
      <w:pPr>
        <w:spacing w:line="240" w:lineRule="auto"/>
        <w:jc w:val="center"/>
        <w:rPr>
          <w:rFonts w:ascii="Garamond" w:eastAsia="Garamond" w:hAnsi="Garamond" w:cs="Garamond"/>
          <w:sz w:val="21"/>
          <w:szCs w:val="21"/>
        </w:rPr>
      </w:pPr>
    </w:p>
    <w:tbl>
      <w:tblPr>
        <w:tblStyle w:val="a"/>
        <w:tblW w:w="90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3569"/>
        <w:gridCol w:w="2605"/>
      </w:tblGrid>
      <w:tr w:rsidR="002B1F19" w14:paraId="10047CE9" w14:textId="77777777">
        <w:trPr>
          <w:jc w:val="center"/>
        </w:trPr>
        <w:tc>
          <w:tcPr>
            <w:tcW w:w="2880" w:type="dxa"/>
            <w:shd w:val="clear" w:color="auto" w:fill="192447"/>
            <w:vAlign w:val="center"/>
          </w:tcPr>
          <w:p w14:paraId="231C2D02" w14:textId="77777777" w:rsidR="002B1F19" w:rsidRDefault="00F80E55">
            <w:pPr>
              <w:spacing w:line="240" w:lineRule="auto"/>
              <w:jc w:val="center"/>
              <w:rPr>
                <w:rFonts w:ascii="Garamond" w:eastAsia="Garamond" w:hAnsi="Garamond" w:cs="Garamond"/>
                <w:color w:val="FBB861"/>
                <w:sz w:val="21"/>
                <w:szCs w:val="21"/>
              </w:rPr>
            </w:pPr>
            <w:r>
              <w:rPr>
                <w:rFonts w:ascii="Garamond" w:eastAsia="Garamond" w:hAnsi="Garamond" w:cs="Garamond"/>
                <w:color w:val="FBB861"/>
                <w:sz w:val="21"/>
                <w:szCs w:val="21"/>
              </w:rPr>
              <w:t>Institución</w:t>
            </w:r>
          </w:p>
        </w:tc>
        <w:tc>
          <w:tcPr>
            <w:tcW w:w="3569" w:type="dxa"/>
            <w:shd w:val="clear" w:color="auto" w:fill="192447"/>
            <w:vAlign w:val="center"/>
          </w:tcPr>
          <w:p w14:paraId="0AF77E12" w14:textId="77777777" w:rsidR="002B1F19" w:rsidRDefault="00F80E55">
            <w:pPr>
              <w:spacing w:line="240" w:lineRule="auto"/>
              <w:jc w:val="center"/>
              <w:rPr>
                <w:rFonts w:ascii="Garamond" w:eastAsia="Garamond" w:hAnsi="Garamond" w:cs="Garamond"/>
                <w:sz w:val="21"/>
                <w:szCs w:val="21"/>
              </w:rPr>
            </w:pPr>
            <w:r>
              <w:rPr>
                <w:rFonts w:ascii="Garamond" w:eastAsia="Garamond" w:hAnsi="Garamond" w:cs="Garamond"/>
                <w:color w:val="FBB861"/>
                <w:sz w:val="21"/>
                <w:szCs w:val="21"/>
              </w:rPr>
              <w:t>Título Universidad de Caldas</w:t>
            </w:r>
          </w:p>
        </w:tc>
        <w:tc>
          <w:tcPr>
            <w:tcW w:w="2605" w:type="dxa"/>
            <w:shd w:val="clear" w:color="auto" w:fill="192447"/>
            <w:vAlign w:val="center"/>
          </w:tcPr>
          <w:p w14:paraId="53AC31EF" w14:textId="77777777" w:rsidR="002B1F19" w:rsidRDefault="00F80E55">
            <w:pPr>
              <w:spacing w:line="240" w:lineRule="auto"/>
              <w:jc w:val="center"/>
              <w:rPr>
                <w:rFonts w:ascii="Garamond" w:eastAsia="Garamond" w:hAnsi="Garamond" w:cs="Garamond"/>
                <w:sz w:val="21"/>
                <w:szCs w:val="21"/>
              </w:rPr>
            </w:pPr>
            <w:r>
              <w:rPr>
                <w:rFonts w:ascii="Garamond" w:eastAsia="Garamond" w:hAnsi="Garamond" w:cs="Garamond"/>
                <w:color w:val="FBB861"/>
                <w:sz w:val="21"/>
                <w:szCs w:val="21"/>
              </w:rPr>
              <w:t>Título Universidad Extranjera</w:t>
            </w:r>
          </w:p>
        </w:tc>
      </w:tr>
      <w:tr w:rsidR="002B1F19" w14:paraId="0A5A4A78" w14:textId="77777777">
        <w:trPr>
          <w:jc w:val="center"/>
        </w:trPr>
        <w:tc>
          <w:tcPr>
            <w:tcW w:w="2880" w:type="dxa"/>
            <w:vMerge w:val="restart"/>
            <w:vAlign w:val="center"/>
          </w:tcPr>
          <w:p w14:paraId="1738BD61" w14:textId="77777777" w:rsidR="002B1F19" w:rsidRDefault="00F80E55">
            <w:pPr>
              <w:spacing w:line="240" w:lineRule="auto"/>
              <w:rPr>
                <w:rFonts w:ascii="Garamond" w:eastAsia="Garamond" w:hAnsi="Garamond" w:cs="Garamond"/>
                <w:sz w:val="21"/>
                <w:szCs w:val="21"/>
              </w:rPr>
            </w:pPr>
            <w:r>
              <w:rPr>
                <w:rFonts w:ascii="Garamond" w:eastAsia="Garamond" w:hAnsi="Garamond" w:cs="Garamond"/>
                <w:sz w:val="21"/>
                <w:szCs w:val="21"/>
              </w:rPr>
              <w:t>Université de Paris Est Créteil Val de Marne (Francia)</w:t>
            </w:r>
          </w:p>
        </w:tc>
        <w:tc>
          <w:tcPr>
            <w:tcW w:w="3569" w:type="dxa"/>
          </w:tcPr>
          <w:p w14:paraId="76C5F7B2" w14:textId="77777777" w:rsidR="002B1F19" w:rsidRDefault="00F80E55">
            <w:pPr>
              <w:spacing w:line="240" w:lineRule="auto"/>
              <w:jc w:val="both"/>
              <w:rPr>
                <w:rFonts w:ascii="Garamond" w:eastAsia="Garamond" w:hAnsi="Garamond" w:cs="Garamond"/>
                <w:sz w:val="21"/>
                <w:szCs w:val="21"/>
              </w:rPr>
            </w:pPr>
            <w:r>
              <w:rPr>
                <w:rFonts w:ascii="Garamond" w:eastAsia="Garamond" w:hAnsi="Garamond" w:cs="Garamond"/>
                <w:sz w:val="21"/>
                <w:szCs w:val="21"/>
              </w:rPr>
              <w:t>Maestría en Ciencias Sociales</w:t>
            </w:r>
          </w:p>
        </w:tc>
        <w:tc>
          <w:tcPr>
            <w:tcW w:w="2605" w:type="dxa"/>
            <w:vMerge w:val="restart"/>
            <w:vAlign w:val="center"/>
          </w:tcPr>
          <w:p w14:paraId="23BC501E" w14:textId="77777777" w:rsidR="002B1F19" w:rsidRDefault="00F80E55">
            <w:pPr>
              <w:spacing w:line="240" w:lineRule="auto"/>
              <w:rPr>
                <w:rFonts w:ascii="Garamond" w:eastAsia="Garamond" w:hAnsi="Garamond" w:cs="Garamond"/>
                <w:sz w:val="21"/>
                <w:szCs w:val="21"/>
              </w:rPr>
            </w:pPr>
            <w:r>
              <w:rPr>
                <w:rFonts w:ascii="Garamond" w:eastAsia="Garamond" w:hAnsi="Garamond" w:cs="Garamond"/>
                <w:sz w:val="21"/>
                <w:szCs w:val="21"/>
              </w:rPr>
              <w:t>Master Sciences Humaines et Sociales</w:t>
            </w:r>
          </w:p>
        </w:tc>
      </w:tr>
      <w:tr w:rsidR="002B1F19" w14:paraId="2C93FAED" w14:textId="77777777">
        <w:trPr>
          <w:jc w:val="center"/>
        </w:trPr>
        <w:tc>
          <w:tcPr>
            <w:tcW w:w="2880" w:type="dxa"/>
            <w:vMerge/>
            <w:vAlign w:val="center"/>
          </w:tcPr>
          <w:p w14:paraId="44E7A094" w14:textId="77777777" w:rsidR="002B1F19" w:rsidRDefault="002B1F19">
            <w:pPr>
              <w:widowControl w:val="0"/>
              <w:rPr>
                <w:rFonts w:ascii="Garamond" w:eastAsia="Garamond" w:hAnsi="Garamond" w:cs="Garamond"/>
                <w:sz w:val="21"/>
                <w:szCs w:val="21"/>
              </w:rPr>
            </w:pPr>
          </w:p>
        </w:tc>
        <w:tc>
          <w:tcPr>
            <w:tcW w:w="3569" w:type="dxa"/>
          </w:tcPr>
          <w:p w14:paraId="05083672" w14:textId="77777777" w:rsidR="002B1F19" w:rsidRDefault="00F80E55">
            <w:pPr>
              <w:spacing w:line="240" w:lineRule="auto"/>
              <w:jc w:val="both"/>
              <w:rPr>
                <w:rFonts w:ascii="Garamond" w:eastAsia="Garamond" w:hAnsi="Garamond" w:cs="Garamond"/>
                <w:sz w:val="21"/>
                <w:szCs w:val="21"/>
              </w:rPr>
            </w:pPr>
            <w:r>
              <w:rPr>
                <w:rFonts w:ascii="Garamond" w:eastAsia="Garamond" w:hAnsi="Garamond" w:cs="Garamond"/>
                <w:sz w:val="21"/>
                <w:szCs w:val="21"/>
              </w:rPr>
              <w:t>Maestría en Culturas y Droga</w:t>
            </w:r>
          </w:p>
        </w:tc>
        <w:tc>
          <w:tcPr>
            <w:tcW w:w="2605" w:type="dxa"/>
            <w:vMerge/>
            <w:vAlign w:val="center"/>
          </w:tcPr>
          <w:p w14:paraId="271D5D60" w14:textId="77777777" w:rsidR="002B1F19" w:rsidRDefault="002B1F19">
            <w:pPr>
              <w:widowControl w:val="0"/>
              <w:rPr>
                <w:rFonts w:ascii="Garamond" w:eastAsia="Garamond" w:hAnsi="Garamond" w:cs="Garamond"/>
                <w:sz w:val="21"/>
                <w:szCs w:val="21"/>
              </w:rPr>
            </w:pPr>
          </w:p>
        </w:tc>
      </w:tr>
      <w:tr w:rsidR="002B1F19" w14:paraId="136074F8" w14:textId="77777777">
        <w:trPr>
          <w:jc w:val="center"/>
        </w:trPr>
        <w:tc>
          <w:tcPr>
            <w:tcW w:w="2880" w:type="dxa"/>
            <w:vMerge/>
            <w:vAlign w:val="center"/>
          </w:tcPr>
          <w:p w14:paraId="440E21C6" w14:textId="77777777" w:rsidR="002B1F19" w:rsidRDefault="002B1F19">
            <w:pPr>
              <w:widowControl w:val="0"/>
              <w:rPr>
                <w:rFonts w:ascii="Garamond" w:eastAsia="Garamond" w:hAnsi="Garamond" w:cs="Garamond"/>
                <w:sz w:val="21"/>
                <w:szCs w:val="21"/>
              </w:rPr>
            </w:pPr>
          </w:p>
        </w:tc>
        <w:tc>
          <w:tcPr>
            <w:tcW w:w="3569" w:type="dxa"/>
          </w:tcPr>
          <w:p w14:paraId="6D32944D" w14:textId="77777777" w:rsidR="002B1F19" w:rsidRDefault="00F80E55">
            <w:pPr>
              <w:spacing w:line="240" w:lineRule="auto"/>
              <w:jc w:val="both"/>
              <w:rPr>
                <w:rFonts w:ascii="Garamond" w:eastAsia="Garamond" w:hAnsi="Garamond" w:cs="Garamond"/>
                <w:sz w:val="21"/>
                <w:szCs w:val="21"/>
              </w:rPr>
            </w:pPr>
            <w:r>
              <w:rPr>
                <w:rFonts w:ascii="Garamond" w:eastAsia="Garamond" w:hAnsi="Garamond" w:cs="Garamond"/>
                <w:sz w:val="21"/>
                <w:szCs w:val="21"/>
              </w:rPr>
              <w:t>Maestría en Estudios de Familia e Intervención en Relaciones Familiares</w:t>
            </w:r>
          </w:p>
        </w:tc>
        <w:tc>
          <w:tcPr>
            <w:tcW w:w="2605" w:type="dxa"/>
            <w:vMerge/>
            <w:vAlign w:val="center"/>
          </w:tcPr>
          <w:p w14:paraId="487032FA" w14:textId="77777777" w:rsidR="002B1F19" w:rsidRDefault="002B1F19">
            <w:pPr>
              <w:widowControl w:val="0"/>
              <w:rPr>
                <w:rFonts w:ascii="Garamond" w:eastAsia="Garamond" w:hAnsi="Garamond" w:cs="Garamond"/>
                <w:sz w:val="21"/>
                <w:szCs w:val="21"/>
              </w:rPr>
            </w:pPr>
          </w:p>
        </w:tc>
      </w:tr>
      <w:tr w:rsidR="002B1F19" w14:paraId="4D55617F" w14:textId="77777777">
        <w:trPr>
          <w:jc w:val="center"/>
        </w:trPr>
        <w:tc>
          <w:tcPr>
            <w:tcW w:w="2880" w:type="dxa"/>
            <w:vMerge w:val="restart"/>
          </w:tcPr>
          <w:p w14:paraId="767400E4" w14:textId="77777777" w:rsidR="002B1F19" w:rsidRDefault="00F80E55">
            <w:pPr>
              <w:spacing w:line="240" w:lineRule="auto"/>
              <w:jc w:val="both"/>
              <w:rPr>
                <w:rFonts w:ascii="Garamond" w:eastAsia="Garamond" w:hAnsi="Garamond" w:cs="Garamond"/>
                <w:sz w:val="21"/>
                <w:szCs w:val="21"/>
              </w:rPr>
            </w:pPr>
            <w:r>
              <w:rPr>
                <w:rFonts w:ascii="Garamond" w:eastAsia="Garamond" w:hAnsi="Garamond" w:cs="Garamond"/>
                <w:sz w:val="21"/>
                <w:szCs w:val="21"/>
              </w:rPr>
              <w:t>Universidad de la Frontera (Chile)</w:t>
            </w:r>
          </w:p>
        </w:tc>
        <w:tc>
          <w:tcPr>
            <w:tcW w:w="3569" w:type="dxa"/>
          </w:tcPr>
          <w:p w14:paraId="5B5330E0" w14:textId="77777777" w:rsidR="002B1F19" w:rsidRDefault="00F80E55">
            <w:pPr>
              <w:spacing w:line="240" w:lineRule="auto"/>
              <w:jc w:val="both"/>
              <w:rPr>
                <w:rFonts w:ascii="Garamond" w:eastAsia="Garamond" w:hAnsi="Garamond" w:cs="Garamond"/>
                <w:sz w:val="21"/>
                <w:szCs w:val="21"/>
              </w:rPr>
            </w:pPr>
            <w:r>
              <w:rPr>
                <w:rFonts w:ascii="Garamond" w:eastAsia="Garamond" w:hAnsi="Garamond" w:cs="Garamond"/>
                <w:sz w:val="21"/>
                <w:szCs w:val="21"/>
              </w:rPr>
              <w:t>Doctorado en Educación</w:t>
            </w:r>
          </w:p>
        </w:tc>
        <w:tc>
          <w:tcPr>
            <w:tcW w:w="2605" w:type="dxa"/>
          </w:tcPr>
          <w:p w14:paraId="2186D991" w14:textId="77777777" w:rsidR="002B1F19" w:rsidRDefault="00F80E55">
            <w:pPr>
              <w:spacing w:line="240" w:lineRule="auto"/>
              <w:jc w:val="both"/>
              <w:rPr>
                <w:rFonts w:ascii="Garamond" w:eastAsia="Garamond" w:hAnsi="Garamond" w:cs="Garamond"/>
                <w:sz w:val="21"/>
                <w:szCs w:val="21"/>
              </w:rPr>
            </w:pPr>
            <w:r>
              <w:rPr>
                <w:rFonts w:ascii="Garamond" w:eastAsia="Garamond" w:hAnsi="Garamond" w:cs="Garamond"/>
                <w:sz w:val="21"/>
                <w:szCs w:val="21"/>
              </w:rPr>
              <w:t>Doctorado en Ciencias de la Educación</w:t>
            </w:r>
          </w:p>
        </w:tc>
      </w:tr>
      <w:tr w:rsidR="002B1F19" w14:paraId="2DC98AFB" w14:textId="77777777">
        <w:trPr>
          <w:jc w:val="center"/>
        </w:trPr>
        <w:tc>
          <w:tcPr>
            <w:tcW w:w="2880" w:type="dxa"/>
            <w:vMerge/>
          </w:tcPr>
          <w:p w14:paraId="5F8A2C76" w14:textId="77777777" w:rsidR="002B1F19" w:rsidRDefault="002B1F19">
            <w:pPr>
              <w:widowControl w:val="0"/>
              <w:rPr>
                <w:rFonts w:ascii="Garamond" w:eastAsia="Garamond" w:hAnsi="Garamond" w:cs="Garamond"/>
                <w:sz w:val="21"/>
                <w:szCs w:val="21"/>
              </w:rPr>
            </w:pPr>
          </w:p>
        </w:tc>
        <w:tc>
          <w:tcPr>
            <w:tcW w:w="3569" w:type="dxa"/>
          </w:tcPr>
          <w:p w14:paraId="52D89736" w14:textId="77777777" w:rsidR="002B1F19" w:rsidRDefault="00F80E55">
            <w:pPr>
              <w:spacing w:line="240" w:lineRule="auto"/>
              <w:jc w:val="both"/>
              <w:rPr>
                <w:rFonts w:ascii="Garamond" w:eastAsia="Garamond" w:hAnsi="Garamond" w:cs="Garamond"/>
                <w:sz w:val="21"/>
                <w:szCs w:val="21"/>
              </w:rPr>
            </w:pPr>
            <w:r>
              <w:rPr>
                <w:rFonts w:ascii="Garamond" w:eastAsia="Garamond" w:hAnsi="Garamond" w:cs="Garamond"/>
                <w:sz w:val="21"/>
                <w:szCs w:val="21"/>
              </w:rPr>
              <w:t>Maestría en Estudios de Familia e Intervención en Relaciones Familiares</w:t>
            </w:r>
          </w:p>
        </w:tc>
        <w:tc>
          <w:tcPr>
            <w:tcW w:w="2605" w:type="dxa"/>
          </w:tcPr>
          <w:p w14:paraId="5A2DE57B" w14:textId="77777777" w:rsidR="002B1F19" w:rsidRDefault="00F80E55">
            <w:pPr>
              <w:spacing w:line="240" w:lineRule="auto"/>
              <w:jc w:val="both"/>
              <w:rPr>
                <w:rFonts w:ascii="Garamond" w:eastAsia="Garamond" w:hAnsi="Garamond" w:cs="Garamond"/>
                <w:sz w:val="21"/>
                <w:szCs w:val="21"/>
              </w:rPr>
            </w:pPr>
            <w:r>
              <w:rPr>
                <w:rFonts w:ascii="Garamond" w:eastAsia="Garamond" w:hAnsi="Garamond" w:cs="Garamond"/>
                <w:sz w:val="21"/>
                <w:szCs w:val="21"/>
              </w:rPr>
              <w:t>Magíster en Estudios y Desarrollo de la Familia</w:t>
            </w:r>
          </w:p>
        </w:tc>
      </w:tr>
      <w:tr w:rsidR="002B1F19" w14:paraId="1DD97413" w14:textId="77777777">
        <w:trPr>
          <w:jc w:val="center"/>
        </w:trPr>
        <w:tc>
          <w:tcPr>
            <w:tcW w:w="2880" w:type="dxa"/>
          </w:tcPr>
          <w:p w14:paraId="27E59D38" w14:textId="77777777" w:rsidR="002B1F19" w:rsidRDefault="00F80E55">
            <w:pPr>
              <w:spacing w:line="240" w:lineRule="auto"/>
              <w:jc w:val="both"/>
              <w:rPr>
                <w:rFonts w:ascii="Garamond" w:eastAsia="Garamond" w:hAnsi="Garamond" w:cs="Garamond"/>
                <w:sz w:val="21"/>
                <w:szCs w:val="21"/>
              </w:rPr>
            </w:pPr>
            <w:r>
              <w:rPr>
                <w:rFonts w:ascii="Garamond" w:eastAsia="Garamond" w:hAnsi="Garamond" w:cs="Garamond"/>
                <w:sz w:val="21"/>
                <w:szCs w:val="21"/>
              </w:rPr>
              <w:lastRenderedPageBreak/>
              <w:t>Universidad Veracruzana (México)</w:t>
            </w:r>
          </w:p>
        </w:tc>
        <w:tc>
          <w:tcPr>
            <w:tcW w:w="3569" w:type="dxa"/>
          </w:tcPr>
          <w:p w14:paraId="2ECD459C" w14:textId="77777777" w:rsidR="002B1F19" w:rsidRDefault="00F80E55">
            <w:pPr>
              <w:spacing w:line="240" w:lineRule="auto"/>
              <w:jc w:val="both"/>
              <w:rPr>
                <w:rFonts w:ascii="Garamond" w:eastAsia="Garamond" w:hAnsi="Garamond" w:cs="Garamond"/>
                <w:sz w:val="21"/>
                <w:szCs w:val="21"/>
              </w:rPr>
            </w:pPr>
            <w:r>
              <w:rPr>
                <w:rFonts w:ascii="Garamond" w:eastAsia="Garamond" w:hAnsi="Garamond" w:cs="Garamond"/>
                <w:sz w:val="21"/>
                <w:szCs w:val="21"/>
              </w:rPr>
              <w:t>Maestría en Salud Pública</w:t>
            </w:r>
          </w:p>
        </w:tc>
        <w:tc>
          <w:tcPr>
            <w:tcW w:w="2605" w:type="dxa"/>
          </w:tcPr>
          <w:p w14:paraId="13F44A77" w14:textId="77777777" w:rsidR="002B1F19" w:rsidRDefault="00F80E55">
            <w:pPr>
              <w:spacing w:line="240" w:lineRule="auto"/>
              <w:jc w:val="both"/>
              <w:rPr>
                <w:rFonts w:ascii="Garamond" w:eastAsia="Garamond" w:hAnsi="Garamond" w:cs="Garamond"/>
                <w:sz w:val="21"/>
                <w:szCs w:val="21"/>
              </w:rPr>
            </w:pPr>
            <w:r>
              <w:rPr>
                <w:rFonts w:ascii="Garamond" w:eastAsia="Garamond" w:hAnsi="Garamond" w:cs="Garamond"/>
                <w:sz w:val="21"/>
                <w:szCs w:val="21"/>
              </w:rPr>
              <w:t>Maestría en Salud Pública</w:t>
            </w:r>
          </w:p>
        </w:tc>
      </w:tr>
      <w:tr w:rsidR="002B1F19" w14:paraId="5E6C6897" w14:textId="77777777">
        <w:trPr>
          <w:jc w:val="center"/>
        </w:trPr>
        <w:tc>
          <w:tcPr>
            <w:tcW w:w="2880" w:type="dxa"/>
            <w:vMerge w:val="restart"/>
          </w:tcPr>
          <w:p w14:paraId="3A46C343" w14:textId="77777777" w:rsidR="002B1F19" w:rsidRDefault="00F80E55">
            <w:pPr>
              <w:spacing w:line="240" w:lineRule="auto"/>
              <w:jc w:val="both"/>
              <w:rPr>
                <w:rFonts w:ascii="Garamond" w:eastAsia="Garamond" w:hAnsi="Garamond" w:cs="Garamond"/>
                <w:sz w:val="21"/>
                <w:szCs w:val="21"/>
              </w:rPr>
            </w:pPr>
            <w:r>
              <w:rPr>
                <w:rFonts w:ascii="Garamond" w:eastAsia="Garamond" w:hAnsi="Garamond" w:cs="Garamond"/>
                <w:sz w:val="21"/>
                <w:szCs w:val="21"/>
              </w:rPr>
              <w:t>Universidade do Vale do Itajaí (Brasil)</w:t>
            </w:r>
          </w:p>
        </w:tc>
        <w:tc>
          <w:tcPr>
            <w:tcW w:w="3569" w:type="dxa"/>
          </w:tcPr>
          <w:p w14:paraId="47BDAA52" w14:textId="77777777" w:rsidR="002B1F19" w:rsidRDefault="00F80E55">
            <w:pPr>
              <w:spacing w:line="240" w:lineRule="auto"/>
              <w:jc w:val="both"/>
              <w:rPr>
                <w:rFonts w:ascii="Garamond" w:eastAsia="Garamond" w:hAnsi="Garamond" w:cs="Garamond"/>
                <w:sz w:val="21"/>
                <w:szCs w:val="21"/>
              </w:rPr>
            </w:pPr>
            <w:r>
              <w:rPr>
                <w:rFonts w:ascii="Garamond" w:eastAsia="Garamond" w:hAnsi="Garamond" w:cs="Garamond"/>
                <w:sz w:val="21"/>
                <w:szCs w:val="21"/>
              </w:rPr>
              <w:t>Maestría en Derecho Público</w:t>
            </w:r>
          </w:p>
        </w:tc>
        <w:tc>
          <w:tcPr>
            <w:tcW w:w="2605" w:type="dxa"/>
            <w:vMerge w:val="restart"/>
          </w:tcPr>
          <w:p w14:paraId="523BE27B" w14:textId="77777777" w:rsidR="002B1F19" w:rsidRDefault="00F80E55">
            <w:pPr>
              <w:spacing w:line="240" w:lineRule="auto"/>
              <w:jc w:val="both"/>
              <w:rPr>
                <w:rFonts w:ascii="Garamond" w:eastAsia="Garamond" w:hAnsi="Garamond" w:cs="Garamond"/>
                <w:sz w:val="21"/>
                <w:szCs w:val="21"/>
              </w:rPr>
            </w:pPr>
            <w:r>
              <w:rPr>
                <w:rFonts w:ascii="Garamond" w:eastAsia="Garamond" w:hAnsi="Garamond" w:cs="Garamond"/>
                <w:sz w:val="21"/>
                <w:szCs w:val="21"/>
              </w:rPr>
              <w:t>Maestría en Ciencia Jurídica</w:t>
            </w:r>
          </w:p>
        </w:tc>
      </w:tr>
      <w:tr w:rsidR="002B1F19" w14:paraId="0F1E8CBB" w14:textId="77777777">
        <w:trPr>
          <w:jc w:val="center"/>
        </w:trPr>
        <w:tc>
          <w:tcPr>
            <w:tcW w:w="2880" w:type="dxa"/>
            <w:vMerge/>
          </w:tcPr>
          <w:p w14:paraId="7FF555DF" w14:textId="77777777" w:rsidR="002B1F19" w:rsidRDefault="002B1F19">
            <w:pPr>
              <w:widowControl w:val="0"/>
              <w:rPr>
                <w:rFonts w:ascii="Garamond" w:eastAsia="Garamond" w:hAnsi="Garamond" w:cs="Garamond"/>
                <w:sz w:val="21"/>
                <w:szCs w:val="21"/>
              </w:rPr>
            </w:pPr>
          </w:p>
        </w:tc>
        <w:tc>
          <w:tcPr>
            <w:tcW w:w="3569" w:type="dxa"/>
          </w:tcPr>
          <w:p w14:paraId="01EC573C" w14:textId="77777777" w:rsidR="002B1F19" w:rsidRDefault="002B1F19">
            <w:pPr>
              <w:spacing w:line="240" w:lineRule="auto"/>
              <w:jc w:val="both"/>
              <w:rPr>
                <w:rFonts w:ascii="Garamond" w:eastAsia="Garamond" w:hAnsi="Garamond" w:cs="Garamond"/>
                <w:sz w:val="21"/>
                <w:szCs w:val="21"/>
              </w:rPr>
            </w:pPr>
          </w:p>
        </w:tc>
        <w:tc>
          <w:tcPr>
            <w:tcW w:w="2605" w:type="dxa"/>
            <w:vMerge/>
          </w:tcPr>
          <w:p w14:paraId="62DB38CA" w14:textId="77777777" w:rsidR="002B1F19" w:rsidRDefault="002B1F19">
            <w:pPr>
              <w:widowControl w:val="0"/>
              <w:rPr>
                <w:rFonts w:ascii="Garamond" w:eastAsia="Garamond" w:hAnsi="Garamond" w:cs="Garamond"/>
                <w:sz w:val="21"/>
                <w:szCs w:val="21"/>
              </w:rPr>
            </w:pPr>
          </w:p>
        </w:tc>
      </w:tr>
    </w:tbl>
    <w:p w14:paraId="2209A944" w14:textId="77777777" w:rsidR="002B1F19" w:rsidRDefault="002B1F19">
      <w:pPr>
        <w:spacing w:line="240" w:lineRule="auto"/>
        <w:jc w:val="both"/>
        <w:rPr>
          <w:rFonts w:ascii="Garamond" w:eastAsia="Garamond" w:hAnsi="Garamond" w:cs="Garamond"/>
          <w:sz w:val="24"/>
          <w:szCs w:val="24"/>
        </w:rPr>
      </w:pPr>
    </w:p>
    <w:p w14:paraId="67AF6C8B" w14:textId="77777777" w:rsidR="002B1F19" w:rsidRDefault="00F80E55">
      <w:pPr>
        <w:spacing w:line="240" w:lineRule="auto"/>
        <w:jc w:val="center"/>
        <w:rPr>
          <w:rFonts w:ascii="Garamond" w:eastAsia="Garamond" w:hAnsi="Garamond" w:cs="Garamond"/>
          <w:sz w:val="24"/>
          <w:szCs w:val="24"/>
        </w:rPr>
      </w:pPr>
      <w:r>
        <w:rPr>
          <w:rFonts w:ascii="Garamond" w:eastAsia="Garamond" w:hAnsi="Garamond" w:cs="Garamond"/>
          <w:sz w:val="24"/>
          <w:szCs w:val="24"/>
        </w:rPr>
        <w:t>Fuente: Oficina de Planeación</w:t>
      </w:r>
    </w:p>
    <w:p w14:paraId="4FE3FE57" w14:textId="77777777" w:rsidR="002B1F19" w:rsidRDefault="002B1F19">
      <w:pPr>
        <w:spacing w:line="240" w:lineRule="auto"/>
        <w:jc w:val="both"/>
        <w:rPr>
          <w:rFonts w:ascii="Garamond" w:eastAsia="Garamond" w:hAnsi="Garamond" w:cs="Garamond"/>
          <w:sz w:val="24"/>
          <w:szCs w:val="24"/>
        </w:rPr>
      </w:pPr>
    </w:p>
    <w:p w14:paraId="78A13462" w14:textId="77777777" w:rsidR="002B1F19" w:rsidRDefault="00F80E55">
      <w:pPr>
        <w:spacing w:line="240" w:lineRule="auto"/>
        <w:jc w:val="both"/>
        <w:rPr>
          <w:rFonts w:ascii="Garamond" w:eastAsia="Garamond" w:hAnsi="Garamond" w:cs="Garamond"/>
          <w:i/>
          <w:sz w:val="24"/>
          <w:szCs w:val="24"/>
        </w:rPr>
      </w:pPr>
      <w:r>
        <w:rPr>
          <w:rFonts w:ascii="Garamond" w:eastAsia="Garamond" w:hAnsi="Garamond" w:cs="Garamond"/>
          <w:i/>
          <w:sz w:val="24"/>
          <w:szCs w:val="24"/>
        </w:rPr>
        <w:t>c. Desarrollo de las ciencias, las artes y la tecnología</w:t>
      </w:r>
    </w:p>
    <w:p w14:paraId="5B637934" w14:textId="77777777" w:rsidR="002B1F19" w:rsidRDefault="002B1F19">
      <w:pPr>
        <w:spacing w:line="240" w:lineRule="auto"/>
        <w:jc w:val="both"/>
        <w:rPr>
          <w:rFonts w:ascii="Garamond" w:eastAsia="Garamond" w:hAnsi="Garamond" w:cs="Garamond"/>
          <w:sz w:val="24"/>
          <w:szCs w:val="24"/>
        </w:rPr>
      </w:pPr>
    </w:p>
    <w:p w14:paraId="122DA56C" w14:textId="77777777" w:rsidR="002B1F19" w:rsidRDefault="002B1F19">
      <w:pPr>
        <w:widowControl w:val="0"/>
        <w:rPr>
          <w:rFonts w:ascii="Garamond" w:eastAsia="Garamond" w:hAnsi="Garamond" w:cs="Garamond"/>
        </w:rPr>
      </w:pPr>
    </w:p>
    <w:p w14:paraId="7C2FD86D" w14:textId="77777777" w:rsidR="002B1F19" w:rsidRDefault="00F80E55">
      <w:pPr>
        <w:widowControl w:val="0"/>
        <w:jc w:val="both"/>
        <w:rPr>
          <w:rFonts w:ascii="Garamond" w:eastAsia="Garamond" w:hAnsi="Garamond" w:cs="Garamond"/>
        </w:rPr>
      </w:pPr>
      <w:r>
        <w:rPr>
          <w:rFonts w:ascii="Garamond" w:eastAsia="Garamond" w:hAnsi="Garamond" w:cs="Garamond"/>
        </w:rPr>
        <w:t>A continuación se presenta la información referida al número de grupos de la institución clasificados por Colciencias en las convocatorias correspondientes a los años 2013, 2014, 2015 y 2017. A partir de la última medición de grupos del año 2017, se observ</w:t>
      </w:r>
      <w:r>
        <w:rPr>
          <w:rFonts w:ascii="Garamond" w:eastAsia="Garamond" w:hAnsi="Garamond" w:cs="Garamond"/>
        </w:rPr>
        <w:t xml:space="preserve">a, con relación al cumplimiento de la meta definida en el plan (50% de los grupos de investigación escalafonados en categorías A o B), que el 58,4% de los grupos de investigación de la Universidad se encuentran escalafonados en las categorías A y B lo que </w:t>
      </w:r>
      <w:r>
        <w:rPr>
          <w:rFonts w:ascii="Garamond" w:eastAsia="Garamond" w:hAnsi="Garamond" w:cs="Garamond"/>
        </w:rPr>
        <w:t>arroja un cumplimiento de la meta superior al 100%. Sobresale el incremento cualitativo y cuantitativo de los grupos a lo largo del período lo que muestra la consolidación de las capacidades de investigación de la institución en los diferentes campos del c</w:t>
      </w:r>
      <w:r>
        <w:rPr>
          <w:rFonts w:ascii="Garamond" w:eastAsia="Garamond" w:hAnsi="Garamond" w:cs="Garamond"/>
        </w:rPr>
        <w:t>onocimiento.</w:t>
      </w:r>
    </w:p>
    <w:p w14:paraId="528ED6A4" w14:textId="77777777" w:rsidR="002B1F19" w:rsidRDefault="002B1F19">
      <w:pPr>
        <w:widowControl w:val="0"/>
        <w:jc w:val="both"/>
        <w:rPr>
          <w:rFonts w:ascii="Garamond" w:eastAsia="Garamond" w:hAnsi="Garamond" w:cs="Garamond"/>
        </w:rPr>
      </w:pPr>
    </w:p>
    <w:p w14:paraId="4CCD33F5" w14:textId="77777777" w:rsidR="002B1F19" w:rsidRDefault="00F80E55">
      <w:pPr>
        <w:widowControl w:val="0"/>
        <w:jc w:val="center"/>
        <w:rPr>
          <w:rFonts w:ascii="Garamond" w:eastAsia="Garamond" w:hAnsi="Garamond" w:cs="Garamond"/>
        </w:rPr>
      </w:pPr>
      <w:r>
        <w:rPr>
          <w:rFonts w:ascii="Garamond" w:eastAsia="Garamond" w:hAnsi="Garamond" w:cs="Garamond"/>
        </w:rPr>
        <w:t xml:space="preserve">Tabla 2. Clasificación de los grupos de investigación  </w:t>
      </w:r>
    </w:p>
    <w:p w14:paraId="774F2ACC" w14:textId="77777777" w:rsidR="002B1F19" w:rsidRDefault="002B1F19">
      <w:pPr>
        <w:widowControl w:val="0"/>
        <w:rPr>
          <w:rFonts w:ascii="Garamond" w:eastAsia="Garamond" w:hAnsi="Garamond" w:cs="Garamond"/>
        </w:rPr>
      </w:pPr>
    </w:p>
    <w:tbl>
      <w:tblPr>
        <w:tblStyle w:val="a0"/>
        <w:tblW w:w="824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20" w:firstRow="1" w:lastRow="0" w:firstColumn="0" w:lastColumn="0" w:noHBand="0" w:noVBand="1"/>
      </w:tblPr>
      <w:tblGrid>
        <w:gridCol w:w="1340"/>
        <w:gridCol w:w="1380"/>
        <w:gridCol w:w="1360"/>
        <w:gridCol w:w="1360"/>
        <w:gridCol w:w="1400"/>
        <w:gridCol w:w="1400"/>
      </w:tblGrid>
      <w:tr w:rsidR="002B1F19" w14:paraId="6BF6A443" w14:textId="77777777" w:rsidTr="002B1F19">
        <w:trPr>
          <w:cnfStyle w:val="100000000000" w:firstRow="1" w:lastRow="0" w:firstColumn="0" w:lastColumn="0" w:oddVBand="0" w:evenVBand="0" w:oddHBand="0" w:evenHBand="0" w:firstRowFirstColumn="0" w:firstRowLastColumn="0" w:lastRowFirstColumn="0" w:lastRowLastColumn="0"/>
          <w:trHeight w:val="560"/>
        </w:trPr>
        <w:tc>
          <w:tcPr>
            <w:tcW w:w="134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vAlign w:val="center"/>
          </w:tcPr>
          <w:p w14:paraId="3329CA6C" w14:textId="77777777" w:rsidR="002B1F19" w:rsidRDefault="00F80E55">
            <w:pPr>
              <w:widowControl w:val="0"/>
              <w:spacing w:line="240" w:lineRule="auto"/>
              <w:rPr>
                <w:rFonts w:ascii="Garamond" w:eastAsia="Garamond" w:hAnsi="Garamond" w:cs="Garamond"/>
              </w:rPr>
            </w:pPr>
            <w:r>
              <w:rPr>
                <w:rFonts w:ascii="Garamond" w:eastAsia="Garamond" w:hAnsi="Garamond" w:cs="Garamond"/>
                <w:color w:val="3F3F3F"/>
                <w:sz w:val="16"/>
                <w:szCs w:val="16"/>
              </w:rPr>
              <w:t>Clasificación</w:t>
            </w:r>
          </w:p>
        </w:tc>
        <w:tc>
          <w:tcPr>
            <w:tcW w:w="138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vAlign w:val="center"/>
          </w:tcPr>
          <w:p w14:paraId="654763E1" w14:textId="77777777" w:rsidR="002B1F19" w:rsidRDefault="00F80E55">
            <w:pPr>
              <w:widowControl w:val="0"/>
              <w:spacing w:line="240" w:lineRule="auto"/>
              <w:rPr>
                <w:rFonts w:ascii="Garamond" w:eastAsia="Garamond" w:hAnsi="Garamond" w:cs="Garamond"/>
              </w:rPr>
            </w:pPr>
            <w:r>
              <w:rPr>
                <w:rFonts w:ascii="Garamond" w:eastAsia="Garamond" w:hAnsi="Garamond" w:cs="Garamond"/>
                <w:color w:val="595959"/>
                <w:sz w:val="16"/>
                <w:szCs w:val="16"/>
              </w:rPr>
              <w:t>Convocatoria</w:t>
            </w:r>
          </w:p>
          <w:p w14:paraId="7ECF95FC" w14:textId="77777777" w:rsidR="002B1F19" w:rsidRDefault="00F80E55">
            <w:pPr>
              <w:widowControl w:val="0"/>
              <w:spacing w:line="240" w:lineRule="auto"/>
              <w:rPr>
                <w:rFonts w:ascii="Garamond" w:eastAsia="Garamond" w:hAnsi="Garamond" w:cs="Garamond"/>
                <w:color w:val="595959"/>
                <w:sz w:val="16"/>
                <w:szCs w:val="16"/>
              </w:rPr>
            </w:pPr>
            <w:r>
              <w:rPr>
                <w:rFonts w:ascii="Garamond" w:eastAsia="Garamond" w:hAnsi="Garamond" w:cs="Garamond"/>
                <w:color w:val="595959"/>
                <w:sz w:val="16"/>
                <w:szCs w:val="16"/>
              </w:rPr>
              <w:t>640 de 2013</w:t>
            </w:r>
          </w:p>
        </w:tc>
        <w:tc>
          <w:tcPr>
            <w:tcW w:w="136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vAlign w:val="center"/>
          </w:tcPr>
          <w:p w14:paraId="7CB9F049" w14:textId="77777777" w:rsidR="002B1F19" w:rsidRDefault="00F80E55">
            <w:pPr>
              <w:widowControl w:val="0"/>
              <w:spacing w:line="240" w:lineRule="auto"/>
              <w:rPr>
                <w:rFonts w:ascii="Garamond" w:eastAsia="Garamond" w:hAnsi="Garamond" w:cs="Garamond"/>
              </w:rPr>
            </w:pPr>
            <w:r>
              <w:rPr>
                <w:rFonts w:ascii="Garamond" w:eastAsia="Garamond" w:hAnsi="Garamond" w:cs="Garamond"/>
                <w:color w:val="595959"/>
                <w:sz w:val="16"/>
                <w:szCs w:val="16"/>
              </w:rPr>
              <w:t>Convocatoria</w:t>
            </w:r>
          </w:p>
          <w:p w14:paraId="04441796" w14:textId="77777777" w:rsidR="002B1F19" w:rsidRDefault="00F80E55">
            <w:pPr>
              <w:widowControl w:val="0"/>
              <w:spacing w:line="240" w:lineRule="auto"/>
              <w:rPr>
                <w:rFonts w:ascii="Garamond" w:eastAsia="Garamond" w:hAnsi="Garamond" w:cs="Garamond"/>
                <w:color w:val="595959"/>
                <w:sz w:val="16"/>
                <w:szCs w:val="16"/>
              </w:rPr>
            </w:pPr>
            <w:r>
              <w:rPr>
                <w:rFonts w:ascii="Garamond" w:eastAsia="Garamond" w:hAnsi="Garamond" w:cs="Garamond"/>
                <w:color w:val="595959"/>
                <w:sz w:val="16"/>
                <w:szCs w:val="16"/>
              </w:rPr>
              <w:t>693 de 2014</w:t>
            </w:r>
          </w:p>
        </w:tc>
        <w:tc>
          <w:tcPr>
            <w:tcW w:w="136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vAlign w:val="center"/>
          </w:tcPr>
          <w:p w14:paraId="43497ABB" w14:textId="77777777" w:rsidR="002B1F19" w:rsidRDefault="00F80E55">
            <w:pPr>
              <w:widowControl w:val="0"/>
              <w:spacing w:line="240" w:lineRule="auto"/>
              <w:rPr>
                <w:rFonts w:ascii="Garamond" w:eastAsia="Garamond" w:hAnsi="Garamond" w:cs="Garamond"/>
              </w:rPr>
            </w:pPr>
            <w:r>
              <w:rPr>
                <w:rFonts w:ascii="Garamond" w:eastAsia="Garamond" w:hAnsi="Garamond" w:cs="Garamond"/>
                <w:color w:val="595959"/>
                <w:sz w:val="16"/>
                <w:szCs w:val="16"/>
              </w:rPr>
              <w:t>Convocatoria</w:t>
            </w:r>
          </w:p>
          <w:p w14:paraId="74F63C56" w14:textId="77777777" w:rsidR="002B1F19" w:rsidRDefault="00F80E55">
            <w:pPr>
              <w:widowControl w:val="0"/>
              <w:spacing w:line="240" w:lineRule="auto"/>
              <w:rPr>
                <w:rFonts w:ascii="Garamond" w:eastAsia="Garamond" w:hAnsi="Garamond" w:cs="Garamond"/>
                <w:color w:val="595959"/>
                <w:sz w:val="16"/>
                <w:szCs w:val="16"/>
              </w:rPr>
            </w:pPr>
            <w:r>
              <w:rPr>
                <w:rFonts w:ascii="Garamond" w:eastAsia="Garamond" w:hAnsi="Garamond" w:cs="Garamond"/>
                <w:color w:val="595959"/>
                <w:sz w:val="16"/>
                <w:szCs w:val="16"/>
              </w:rPr>
              <w:t>737 de 2015</w:t>
            </w:r>
          </w:p>
        </w:tc>
        <w:tc>
          <w:tcPr>
            <w:tcW w:w="140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vAlign w:val="center"/>
          </w:tcPr>
          <w:p w14:paraId="2575985E" w14:textId="77777777" w:rsidR="002B1F19" w:rsidRDefault="00F80E55">
            <w:pPr>
              <w:widowControl w:val="0"/>
              <w:spacing w:line="240" w:lineRule="auto"/>
              <w:rPr>
                <w:rFonts w:ascii="Garamond" w:eastAsia="Garamond" w:hAnsi="Garamond" w:cs="Garamond"/>
              </w:rPr>
            </w:pPr>
            <w:r>
              <w:rPr>
                <w:rFonts w:ascii="Garamond" w:eastAsia="Garamond" w:hAnsi="Garamond" w:cs="Garamond"/>
                <w:color w:val="000000"/>
                <w:sz w:val="16"/>
                <w:szCs w:val="16"/>
              </w:rPr>
              <w:t>Convocatoria</w:t>
            </w:r>
          </w:p>
          <w:p w14:paraId="2B6321FF" w14:textId="77777777" w:rsidR="002B1F19" w:rsidRDefault="00F80E55">
            <w:pPr>
              <w:widowControl w:val="0"/>
              <w:spacing w:line="240" w:lineRule="auto"/>
              <w:rPr>
                <w:rFonts w:ascii="Garamond" w:eastAsia="Garamond" w:hAnsi="Garamond" w:cs="Garamond"/>
                <w:sz w:val="16"/>
                <w:szCs w:val="16"/>
              </w:rPr>
            </w:pPr>
            <w:r>
              <w:rPr>
                <w:rFonts w:ascii="Garamond" w:eastAsia="Garamond" w:hAnsi="Garamond" w:cs="Garamond"/>
                <w:color w:val="000000"/>
                <w:sz w:val="16"/>
                <w:szCs w:val="16"/>
              </w:rPr>
              <w:t>781 de 2017</w:t>
            </w:r>
          </w:p>
        </w:tc>
        <w:tc>
          <w:tcPr>
            <w:tcW w:w="140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vAlign w:val="center"/>
          </w:tcPr>
          <w:p w14:paraId="151BF0EE" w14:textId="77777777" w:rsidR="002B1F19" w:rsidRDefault="00F80E55">
            <w:pPr>
              <w:widowControl w:val="0"/>
              <w:spacing w:line="240" w:lineRule="auto"/>
              <w:rPr>
                <w:rFonts w:ascii="Garamond" w:eastAsia="Garamond" w:hAnsi="Garamond" w:cs="Garamond"/>
                <w:sz w:val="16"/>
                <w:szCs w:val="16"/>
              </w:rPr>
            </w:pPr>
            <w:r>
              <w:rPr>
                <w:rFonts w:ascii="Garamond" w:eastAsia="Garamond" w:hAnsi="Garamond" w:cs="Garamond"/>
                <w:color w:val="000000"/>
                <w:sz w:val="16"/>
                <w:szCs w:val="16"/>
              </w:rPr>
              <w:t>Porcentaje en relación al total</w:t>
            </w:r>
          </w:p>
        </w:tc>
      </w:tr>
      <w:tr w:rsidR="002B1F19" w14:paraId="19D7048D" w14:textId="77777777" w:rsidTr="002B1F19">
        <w:trPr>
          <w:cnfStyle w:val="000000100000" w:firstRow="0" w:lastRow="0" w:firstColumn="0" w:lastColumn="0" w:oddVBand="0" w:evenVBand="0" w:oddHBand="1" w:evenHBand="0" w:firstRowFirstColumn="0" w:firstRowLastColumn="0" w:lastRowFirstColumn="0" w:lastRowLastColumn="0"/>
          <w:trHeight w:val="340"/>
        </w:trPr>
        <w:tc>
          <w:tcPr>
            <w:tcW w:w="134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70089B51" w14:textId="77777777" w:rsidR="002B1F19" w:rsidRDefault="00F80E55">
            <w:pPr>
              <w:widowControl w:val="0"/>
              <w:spacing w:line="240" w:lineRule="auto"/>
              <w:rPr>
                <w:rFonts w:ascii="Garamond" w:eastAsia="Garamond" w:hAnsi="Garamond" w:cs="Garamond"/>
              </w:rPr>
            </w:pPr>
            <w:r>
              <w:rPr>
                <w:rFonts w:ascii="Garamond" w:eastAsia="Garamond" w:hAnsi="Garamond" w:cs="Garamond"/>
                <w:color w:val="3F3F3F"/>
                <w:sz w:val="16"/>
                <w:szCs w:val="16"/>
              </w:rPr>
              <w:t>A1</w:t>
            </w:r>
          </w:p>
        </w:tc>
        <w:tc>
          <w:tcPr>
            <w:tcW w:w="138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153B71BB"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5</w:t>
            </w:r>
          </w:p>
        </w:tc>
        <w:tc>
          <w:tcPr>
            <w:tcW w:w="136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2486DDCA"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4</w:t>
            </w:r>
          </w:p>
        </w:tc>
        <w:tc>
          <w:tcPr>
            <w:tcW w:w="136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64F75377"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3</w:t>
            </w:r>
          </w:p>
        </w:tc>
        <w:tc>
          <w:tcPr>
            <w:tcW w:w="1400" w:type="dxa"/>
            <w:tcBorders>
              <w:top w:val="single" w:sz="8" w:space="0" w:color="434343"/>
              <w:left w:val="single" w:sz="8" w:space="0" w:color="434343"/>
              <w:bottom w:val="single" w:sz="8" w:space="0" w:color="434343"/>
              <w:right w:val="single" w:sz="8" w:space="0" w:color="434343"/>
            </w:tcBorders>
            <w:shd w:val="clear" w:color="auto" w:fill="C9DAF8"/>
            <w:tcMar>
              <w:top w:w="60" w:type="dxa"/>
              <w:left w:w="100" w:type="dxa"/>
              <w:bottom w:w="60" w:type="dxa"/>
              <w:right w:w="100" w:type="dxa"/>
            </w:tcMar>
          </w:tcPr>
          <w:p w14:paraId="7F49E833"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5</w:t>
            </w:r>
          </w:p>
        </w:tc>
        <w:tc>
          <w:tcPr>
            <w:tcW w:w="1400" w:type="dxa"/>
            <w:vMerge w:val="restart"/>
            <w:tcBorders>
              <w:top w:val="single" w:sz="8" w:space="0" w:color="434343"/>
              <w:left w:val="single" w:sz="8" w:space="0" w:color="434343"/>
              <w:bottom w:val="single" w:sz="8" w:space="0" w:color="434343"/>
              <w:right w:val="single" w:sz="8" w:space="0" w:color="434343"/>
            </w:tcBorders>
            <w:shd w:val="clear" w:color="auto" w:fill="FFAB40"/>
            <w:tcMar>
              <w:top w:w="60" w:type="dxa"/>
              <w:left w:w="100" w:type="dxa"/>
              <w:bottom w:w="60" w:type="dxa"/>
              <w:right w:w="100" w:type="dxa"/>
            </w:tcMar>
          </w:tcPr>
          <w:p w14:paraId="515DE2EA" w14:textId="77777777" w:rsidR="002B1F19" w:rsidRDefault="00F80E55">
            <w:pPr>
              <w:widowControl w:val="0"/>
              <w:spacing w:line="240" w:lineRule="auto"/>
              <w:rPr>
                <w:rFonts w:ascii="Garamond" w:eastAsia="Garamond" w:hAnsi="Garamond" w:cs="Garamond"/>
                <w:sz w:val="16"/>
                <w:szCs w:val="16"/>
              </w:rPr>
            </w:pPr>
            <w:r>
              <w:rPr>
                <w:rFonts w:ascii="Garamond" w:eastAsia="Garamond" w:hAnsi="Garamond" w:cs="Garamond"/>
                <w:sz w:val="16"/>
                <w:szCs w:val="16"/>
              </w:rPr>
              <w:t>58,4%</w:t>
            </w:r>
          </w:p>
        </w:tc>
      </w:tr>
      <w:tr w:rsidR="002B1F19" w14:paraId="28A9940C" w14:textId="77777777" w:rsidTr="002B1F19">
        <w:trPr>
          <w:trHeight w:val="340"/>
        </w:trPr>
        <w:tc>
          <w:tcPr>
            <w:tcW w:w="134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68D64B05" w14:textId="77777777" w:rsidR="002B1F19" w:rsidRDefault="00F80E55">
            <w:pPr>
              <w:widowControl w:val="0"/>
              <w:spacing w:line="240" w:lineRule="auto"/>
              <w:rPr>
                <w:rFonts w:ascii="Garamond" w:eastAsia="Garamond" w:hAnsi="Garamond" w:cs="Garamond"/>
              </w:rPr>
            </w:pPr>
            <w:r>
              <w:rPr>
                <w:rFonts w:ascii="Garamond" w:eastAsia="Garamond" w:hAnsi="Garamond" w:cs="Garamond"/>
                <w:color w:val="3F3F3F"/>
                <w:sz w:val="16"/>
                <w:szCs w:val="16"/>
              </w:rPr>
              <w:t>A</w:t>
            </w:r>
          </w:p>
        </w:tc>
        <w:tc>
          <w:tcPr>
            <w:tcW w:w="138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0008E8B2"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9</w:t>
            </w:r>
          </w:p>
        </w:tc>
        <w:tc>
          <w:tcPr>
            <w:tcW w:w="136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70D39B06"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9</w:t>
            </w:r>
          </w:p>
        </w:tc>
        <w:tc>
          <w:tcPr>
            <w:tcW w:w="136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00EF3563"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20</w:t>
            </w:r>
          </w:p>
        </w:tc>
        <w:tc>
          <w:tcPr>
            <w:tcW w:w="1400" w:type="dxa"/>
            <w:tcBorders>
              <w:top w:val="single" w:sz="8" w:space="0" w:color="434343"/>
              <w:left w:val="single" w:sz="8" w:space="0" w:color="434343"/>
              <w:bottom w:val="single" w:sz="8" w:space="0" w:color="434343"/>
              <w:right w:val="single" w:sz="8" w:space="0" w:color="434343"/>
            </w:tcBorders>
            <w:shd w:val="clear" w:color="auto" w:fill="C9DAF8"/>
            <w:tcMar>
              <w:top w:w="60" w:type="dxa"/>
              <w:left w:w="100" w:type="dxa"/>
              <w:bottom w:w="60" w:type="dxa"/>
              <w:right w:w="100" w:type="dxa"/>
            </w:tcMar>
          </w:tcPr>
          <w:p w14:paraId="73DFCFFC"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18</w:t>
            </w:r>
          </w:p>
        </w:tc>
        <w:tc>
          <w:tcPr>
            <w:tcW w:w="1400" w:type="dxa"/>
            <w:vMerge/>
            <w:tcBorders>
              <w:top w:val="single" w:sz="8" w:space="0" w:color="434343"/>
              <w:left w:val="single" w:sz="8" w:space="0" w:color="434343"/>
              <w:bottom w:val="single" w:sz="8" w:space="0" w:color="434343"/>
              <w:right w:val="single" w:sz="8" w:space="0" w:color="434343"/>
            </w:tcBorders>
            <w:shd w:val="clear" w:color="auto" w:fill="FFAB40"/>
            <w:tcMar>
              <w:top w:w="60" w:type="dxa"/>
              <w:left w:w="100" w:type="dxa"/>
              <w:bottom w:w="60" w:type="dxa"/>
              <w:right w:w="100" w:type="dxa"/>
            </w:tcMar>
          </w:tcPr>
          <w:p w14:paraId="6C3AD927" w14:textId="77777777" w:rsidR="002B1F19" w:rsidRDefault="002B1F19">
            <w:pPr>
              <w:widowControl w:val="0"/>
              <w:spacing w:line="240" w:lineRule="auto"/>
              <w:rPr>
                <w:rFonts w:ascii="Garamond" w:eastAsia="Garamond" w:hAnsi="Garamond" w:cs="Garamond"/>
                <w:color w:val="FFFFFF"/>
                <w:sz w:val="16"/>
                <w:szCs w:val="16"/>
              </w:rPr>
            </w:pPr>
          </w:p>
        </w:tc>
      </w:tr>
      <w:tr w:rsidR="002B1F19" w14:paraId="533E2759" w14:textId="77777777" w:rsidTr="002B1F19">
        <w:trPr>
          <w:cnfStyle w:val="000000100000" w:firstRow="0" w:lastRow="0" w:firstColumn="0" w:lastColumn="0" w:oddVBand="0" w:evenVBand="0" w:oddHBand="1" w:evenHBand="0" w:firstRowFirstColumn="0" w:firstRowLastColumn="0" w:lastRowFirstColumn="0" w:lastRowLastColumn="0"/>
          <w:trHeight w:val="340"/>
        </w:trPr>
        <w:tc>
          <w:tcPr>
            <w:tcW w:w="134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0CA152F9" w14:textId="77777777" w:rsidR="002B1F19" w:rsidRDefault="00F80E55">
            <w:pPr>
              <w:widowControl w:val="0"/>
              <w:spacing w:line="240" w:lineRule="auto"/>
              <w:rPr>
                <w:rFonts w:ascii="Garamond" w:eastAsia="Garamond" w:hAnsi="Garamond" w:cs="Garamond"/>
              </w:rPr>
            </w:pPr>
            <w:r>
              <w:rPr>
                <w:rFonts w:ascii="Garamond" w:eastAsia="Garamond" w:hAnsi="Garamond" w:cs="Garamond"/>
                <w:color w:val="3F3F3F"/>
                <w:sz w:val="16"/>
                <w:szCs w:val="16"/>
              </w:rPr>
              <w:t>B</w:t>
            </w:r>
          </w:p>
        </w:tc>
        <w:tc>
          <w:tcPr>
            <w:tcW w:w="138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23F8E04B"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10</w:t>
            </w:r>
          </w:p>
        </w:tc>
        <w:tc>
          <w:tcPr>
            <w:tcW w:w="136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1DC15BD0"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10</w:t>
            </w:r>
          </w:p>
        </w:tc>
        <w:tc>
          <w:tcPr>
            <w:tcW w:w="136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1DEC07BE"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8</w:t>
            </w:r>
          </w:p>
        </w:tc>
        <w:tc>
          <w:tcPr>
            <w:tcW w:w="1400" w:type="dxa"/>
            <w:tcBorders>
              <w:top w:val="single" w:sz="8" w:space="0" w:color="434343"/>
              <w:left w:val="single" w:sz="8" w:space="0" w:color="434343"/>
              <w:bottom w:val="single" w:sz="8" w:space="0" w:color="434343"/>
              <w:right w:val="single" w:sz="8" w:space="0" w:color="434343"/>
            </w:tcBorders>
            <w:shd w:val="clear" w:color="auto" w:fill="C9DAF8"/>
            <w:tcMar>
              <w:top w:w="60" w:type="dxa"/>
              <w:left w:w="100" w:type="dxa"/>
              <w:bottom w:w="60" w:type="dxa"/>
              <w:right w:w="100" w:type="dxa"/>
            </w:tcMar>
          </w:tcPr>
          <w:p w14:paraId="02F1BAF3"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15</w:t>
            </w:r>
          </w:p>
        </w:tc>
        <w:tc>
          <w:tcPr>
            <w:tcW w:w="1400" w:type="dxa"/>
            <w:vMerge/>
            <w:tcBorders>
              <w:top w:val="single" w:sz="8" w:space="0" w:color="434343"/>
              <w:left w:val="single" w:sz="8" w:space="0" w:color="434343"/>
              <w:bottom w:val="single" w:sz="8" w:space="0" w:color="434343"/>
              <w:right w:val="single" w:sz="8" w:space="0" w:color="434343"/>
            </w:tcBorders>
            <w:shd w:val="clear" w:color="auto" w:fill="FFAB40"/>
            <w:tcMar>
              <w:top w:w="60" w:type="dxa"/>
              <w:left w:w="100" w:type="dxa"/>
              <w:bottom w:w="60" w:type="dxa"/>
              <w:right w:w="100" w:type="dxa"/>
            </w:tcMar>
          </w:tcPr>
          <w:p w14:paraId="0E9DB53A" w14:textId="77777777" w:rsidR="002B1F19" w:rsidRDefault="002B1F19">
            <w:pPr>
              <w:widowControl w:val="0"/>
              <w:spacing w:line="240" w:lineRule="auto"/>
              <w:rPr>
                <w:rFonts w:ascii="Garamond" w:eastAsia="Garamond" w:hAnsi="Garamond" w:cs="Garamond"/>
                <w:color w:val="FFFFFF"/>
                <w:sz w:val="16"/>
                <w:szCs w:val="16"/>
              </w:rPr>
            </w:pPr>
          </w:p>
        </w:tc>
      </w:tr>
      <w:tr w:rsidR="002B1F19" w14:paraId="30FA1B77" w14:textId="77777777" w:rsidTr="002B1F19">
        <w:trPr>
          <w:trHeight w:val="340"/>
        </w:trPr>
        <w:tc>
          <w:tcPr>
            <w:tcW w:w="134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1278516F" w14:textId="77777777" w:rsidR="002B1F19" w:rsidRDefault="00F80E55">
            <w:pPr>
              <w:widowControl w:val="0"/>
              <w:spacing w:line="240" w:lineRule="auto"/>
              <w:rPr>
                <w:rFonts w:ascii="Garamond" w:eastAsia="Garamond" w:hAnsi="Garamond" w:cs="Garamond"/>
              </w:rPr>
            </w:pPr>
            <w:r>
              <w:rPr>
                <w:rFonts w:ascii="Garamond" w:eastAsia="Garamond" w:hAnsi="Garamond" w:cs="Garamond"/>
                <w:color w:val="3F3F3F"/>
                <w:sz w:val="16"/>
                <w:szCs w:val="16"/>
              </w:rPr>
              <w:t>C</w:t>
            </w:r>
          </w:p>
        </w:tc>
        <w:tc>
          <w:tcPr>
            <w:tcW w:w="138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2CD8C978"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20</w:t>
            </w:r>
          </w:p>
        </w:tc>
        <w:tc>
          <w:tcPr>
            <w:tcW w:w="136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13B5D8A3"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19</w:t>
            </w:r>
          </w:p>
        </w:tc>
        <w:tc>
          <w:tcPr>
            <w:tcW w:w="136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4244A91A"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24</w:t>
            </w:r>
          </w:p>
        </w:tc>
        <w:tc>
          <w:tcPr>
            <w:tcW w:w="1400" w:type="dxa"/>
            <w:tcBorders>
              <w:top w:val="single" w:sz="8" w:space="0" w:color="434343"/>
              <w:left w:val="single" w:sz="8" w:space="0" w:color="434343"/>
              <w:bottom w:val="single" w:sz="8" w:space="0" w:color="434343"/>
              <w:right w:val="single" w:sz="8" w:space="0" w:color="434343"/>
            </w:tcBorders>
            <w:shd w:val="clear" w:color="auto" w:fill="C9DAF8"/>
            <w:tcMar>
              <w:top w:w="60" w:type="dxa"/>
              <w:left w:w="100" w:type="dxa"/>
              <w:bottom w:w="60" w:type="dxa"/>
              <w:right w:w="100" w:type="dxa"/>
            </w:tcMar>
          </w:tcPr>
          <w:p w14:paraId="5F1813A6"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21</w:t>
            </w:r>
          </w:p>
        </w:tc>
        <w:tc>
          <w:tcPr>
            <w:tcW w:w="1400" w:type="dxa"/>
            <w:tcBorders>
              <w:top w:val="single" w:sz="8" w:space="0" w:color="434343"/>
              <w:left w:val="single" w:sz="8" w:space="0" w:color="434343"/>
              <w:bottom w:val="single" w:sz="8" w:space="0" w:color="434343"/>
              <w:right w:val="single" w:sz="8" w:space="0" w:color="434343"/>
            </w:tcBorders>
            <w:shd w:val="clear" w:color="auto" w:fill="FFAB40"/>
            <w:tcMar>
              <w:top w:w="60" w:type="dxa"/>
              <w:left w:w="100" w:type="dxa"/>
              <w:bottom w:w="60" w:type="dxa"/>
              <w:right w:w="100" w:type="dxa"/>
            </w:tcMar>
          </w:tcPr>
          <w:p w14:paraId="39B6B2E7" w14:textId="77777777" w:rsidR="002B1F19" w:rsidRDefault="002B1F19">
            <w:pPr>
              <w:widowControl w:val="0"/>
              <w:spacing w:line="240" w:lineRule="auto"/>
              <w:rPr>
                <w:rFonts w:ascii="Garamond" w:eastAsia="Garamond" w:hAnsi="Garamond" w:cs="Garamond"/>
                <w:sz w:val="16"/>
                <w:szCs w:val="16"/>
              </w:rPr>
            </w:pPr>
          </w:p>
        </w:tc>
      </w:tr>
      <w:tr w:rsidR="002B1F19" w14:paraId="60BB12C7" w14:textId="77777777" w:rsidTr="002B1F19">
        <w:trPr>
          <w:cnfStyle w:val="000000100000" w:firstRow="0" w:lastRow="0" w:firstColumn="0" w:lastColumn="0" w:oddVBand="0" w:evenVBand="0" w:oddHBand="1" w:evenHBand="0" w:firstRowFirstColumn="0" w:firstRowLastColumn="0" w:lastRowFirstColumn="0" w:lastRowLastColumn="0"/>
          <w:trHeight w:val="340"/>
        </w:trPr>
        <w:tc>
          <w:tcPr>
            <w:tcW w:w="134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05FC6C04" w14:textId="77777777" w:rsidR="002B1F19" w:rsidRDefault="00F80E55">
            <w:pPr>
              <w:widowControl w:val="0"/>
              <w:spacing w:line="240" w:lineRule="auto"/>
              <w:rPr>
                <w:rFonts w:ascii="Garamond" w:eastAsia="Garamond" w:hAnsi="Garamond" w:cs="Garamond"/>
              </w:rPr>
            </w:pPr>
            <w:r>
              <w:rPr>
                <w:rFonts w:ascii="Garamond" w:eastAsia="Garamond" w:hAnsi="Garamond" w:cs="Garamond"/>
                <w:color w:val="3F3F3F"/>
                <w:sz w:val="16"/>
                <w:szCs w:val="16"/>
              </w:rPr>
              <w:t>D</w:t>
            </w:r>
          </w:p>
        </w:tc>
        <w:tc>
          <w:tcPr>
            <w:tcW w:w="138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3FC88961"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7</w:t>
            </w:r>
          </w:p>
        </w:tc>
        <w:tc>
          <w:tcPr>
            <w:tcW w:w="136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0B4B235C"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6</w:t>
            </w:r>
          </w:p>
        </w:tc>
        <w:tc>
          <w:tcPr>
            <w:tcW w:w="136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5C984115"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4</w:t>
            </w:r>
          </w:p>
        </w:tc>
        <w:tc>
          <w:tcPr>
            <w:tcW w:w="1400" w:type="dxa"/>
            <w:tcBorders>
              <w:top w:val="single" w:sz="8" w:space="0" w:color="434343"/>
              <w:left w:val="single" w:sz="8" w:space="0" w:color="434343"/>
              <w:bottom w:val="single" w:sz="8" w:space="0" w:color="434343"/>
              <w:right w:val="single" w:sz="8" w:space="0" w:color="434343"/>
            </w:tcBorders>
            <w:shd w:val="clear" w:color="auto" w:fill="C9DAF8"/>
            <w:tcMar>
              <w:top w:w="60" w:type="dxa"/>
              <w:left w:w="100" w:type="dxa"/>
              <w:bottom w:w="60" w:type="dxa"/>
              <w:right w:w="100" w:type="dxa"/>
            </w:tcMar>
          </w:tcPr>
          <w:p w14:paraId="5805B977"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w:t>
            </w:r>
          </w:p>
        </w:tc>
        <w:tc>
          <w:tcPr>
            <w:tcW w:w="1400" w:type="dxa"/>
            <w:tcBorders>
              <w:top w:val="single" w:sz="8" w:space="0" w:color="434343"/>
              <w:left w:val="single" w:sz="8" w:space="0" w:color="434343"/>
              <w:bottom w:val="single" w:sz="8" w:space="0" w:color="434343"/>
              <w:right w:val="single" w:sz="8" w:space="0" w:color="434343"/>
            </w:tcBorders>
            <w:shd w:val="clear" w:color="auto" w:fill="FFAB40"/>
            <w:tcMar>
              <w:top w:w="60" w:type="dxa"/>
              <w:left w:w="100" w:type="dxa"/>
              <w:bottom w:w="60" w:type="dxa"/>
              <w:right w:w="100" w:type="dxa"/>
            </w:tcMar>
          </w:tcPr>
          <w:p w14:paraId="6EA8E737" w14:textId="77777777" w:rsidR="002B1F19" w:rsidRDefault="002B1F19">
            <w:pPr>
              <w:widowControl w:val="0"/>
              <w:spacing w:line="240" w:lineRule="auto"/>
              <w:rPr>
                <w:rFonts w:ascii="Garamond" w:eastAsia="Garamond" w:hAnsi="Garamond" w:cs="Garamond"/>
                <w:sz w:val="16"/>
                <w:szCs w:val="16"/>
              </w:rPr>
            </w:pPr>
          </w:p>
        </w:tc>
      </w:tr>
      <w:tr w:rsidR="002B1F19" w14:paraId="7E311740" w14:textId="77777777" w:rsidTr="002B1F19">
        <w:trPr>
          <w:trHeight w:val="340"/>
        </w:trPr>
        <w:tc>
          <w:tcPr>
            <w:tcW w:w="134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03CC486B" w14:textId="77777777" w:rsidR="002B1F19" w:rsidRDefault="00F80E55">
            <w:pPr>
              <w:widowControl w:val="0"/>
              <w:spacing w:line="240" w:lineRule="auto"/>
              <w:rPr>
                <w:rFonts w:ascii="Garamond" w:eastAsia="Garamond" w:hAnsi="Garamond" w:cs="Garamond"/>
                <w:color w:val="3F3F3F"/>
                <w:sz w:val="16"/>
                <w:szCs w:val="16"/>
              </w:rPr>
            </w:pPr>
            <w:r>
              <w:rPr>
                <w:rFonts w:ascii="Garamond" w:eastAsia="Garamond" w:hAnsi="Garamond" w:cs="Garamond"/>
                <w:color w:val="3F3F3F"/>
                <w:sz w:val="16"/>
                <w:szCs w:val="16"/>
              </w:rPr>
              <w:t>Reconocidos</w:t>
            </w:r>
          </w:p>
        </w:tc>
        <w:tc>
          <w:tcPr>
            <w:tcW w:w="138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4F02E878" w14:textId="77777777" w:rsidR="002B1F19" w:rsidRDefault="002B1F19">
            <w:pPr>
              <w:widowControl w:val="0"/>
              <w:spacing w:line="240" w:lineRule="auto"/>
              <w:rPr>
                <w:rFonts w:ascii="Garamond" w:eastAsia="Garamond" w:hAnsi="Garamond" w:cs="Garamond"/>
                <w:sz w:val="16"/>
                <w:szCs w:val="16"/>
              </w:rPr>
            </w:pPr>
          </w:p>
        </w:tc>
        <w:tc>
          <w:tcPr>
            <w:tcW w:w="136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3D9D14E4" w14:textId="77777777" w:rsidR="002B1F19" w:rsidRDefault="002B1F19">
            <w:pPr>
              <w:widowControl w:val="0"/>
              <w:spacing w:line="240" w:lineRule="auto"/>
              <w:rPr>
                <w:rFonts w:ascii="Garamond" w:eastAsia="Garamond" w:hAnsi="Garamond" w:cs="Garamond"/>
                <w:sz w:val="16"/>
                <w:szCs w:val="16"/>
              </w:rPr>
            </w:pPr>
          </w:p>
        </w:tc>
        <w:tc>
          <w:tcPr>
            <w:tcW w:w="136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4E374BBD"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1</w:t>
            </w:r>
          </w:p>
        </w:tc>
        <w:tc>
          <w:tcPr>
            <w:tcW w:w="1400" w:type="dxa"/>
            <w:tcBorders>
              <w:top w:val="single" w:sz="8" w:space="0" w:color="434343"/>
              <w:left w:val="single" w:sz="8" w:space="0" w:color="434343"/>
              <w:bottom w:val="single" w:sz="8" w:space="0" w:color="434343"/>
              <w:right w:val="single" w:sz="8" w:space="0" w:color="434343"/>
            </w:tcBorders>
            <w:shd w:val="clear" w:color="auto" w:fill="C9DAF8"/>
            <w:tcMar>
              <w:top w:w="60" w:type="dxa"/>
              <w:left w:w="100" w:type="dxa"/>
              <w:bottom w:w="60" w:type="dxa"/>
              <w:right w:w="100" w:type="dxa"/>
            </w:tcMar>
          </w:tcPr>
          <w:p w14:paraId="3A61747E" w14:textId="77777777" w:rsidR="002B1F19" w:rsidRDefault="00F80E55">
            <w:pPr>
              <w:widowControl w:val="0"/>
              <w:spacing w:line="240" w:lineRule="auto"/>
              <w:rPr>
                <w:rFonts w:ascii="Garamond" w:eastAsia="Garamond" w:hAnsi="Garamond" w:cs="Garamond"/>
              </w:rPr>
            </w:pPr>
            <w:r>
              <w:rPr>
                <w:rFonts w:ascii="Garamond" w:eastAsia="Garamond" w:hAnsi="Garamond" w:cs="Garamond"/>
                <w:sz w:val="16"/>
                <w:szCs w:val="16"/>
              </w:rPr>
              <w:t>6</w:t>
            </w:r>
          </w:p>
        </w:tc>
        <w:tc>
          <w:tcPr>
            <w:tcW w:w="1400" w:type="dxa"/>
            <w:tcBorders>
              <w:top w:val="single" w:sz="8" w:space="0" w:color="434343"/>
              <w:left w:val="single" w:sz="8" w:space="0" w:color="434343"/>
              <w:bottom w:val="single" w:sz="8" w:space="0" w:color="434343"/>
              <w:right w:val="single" w:sz="8" w:space="0" w:color="434343"/>
            </w:tcBorders>
            <w:shd w:val="clear" w:color="auto" w:fill="FFAB40"/>
            <w:tcMar>
              <w:top w:w="60" w:type="dxa"/>
              <w:left w:w="100" w:type="dxa"/>
              <w:bottom w:w="60" w:type="dxa"/>
              <w:right w:w="100" w:type="dxa"/>
            </w:tcMar>
          </w:tcPr>
          <w:p w14:paraId="47BECFA7" w14:textId="77777777" w:rsidR="002B1F19" w:rsidRDefault="002B1F19">
            <w:pPr>
              <w:widowControl w:val="0"/>
              <w:spacing w:line="240" w:lineRule="auto"/>
              <w:rPr>
                <w:rFonts w:ascii="Garamond" w:eastAsia="Garamond" w:hAnsi="Garamond" w:cs="Garamond"/>
                <w:sz w:val="16"/>
                <w:szCs w:val="16"/>
              </w:rPr>
            </w:pPr>
          </w:p>
        </w:tc>
      </w:tr>
      <w:tr w:rsidR="002B1F19" w14:paraId="0352151F" w14:textId="77777777" w:rsidTr="002B1F19">
        <w:trPr>
          <w:cnfStyle w:val="000000100000" w:firstRow="0" w:lastRow="0" w:firstColumn="0" w:lastColumn="0" w:oddVBand="0" w:evenVBand="0" w:oddHBand="1" w:evenHBand="0" w:firstRowFirstColumn="0" w:firstRowLastColumn="0" w:lastRowFirstColumn="0" w:lastRowLastColumn="0"/>
          <w:trHeight w:val="360"/>
        </w:trPr>
        <w:tc>
          <w:tcPr>
            <w:tcW w:w="134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3C55ED6F" w14:textId="77777777" w:rsidR="002B1F19" w:rsidRDefault="00F80E55">
            <w:pPr>
              <w:widowControl w:val="0"/>
              <w:spacing w:line="240" w:lineRule="auto"/>
              <w:rPr>
                <w:rFonts w:ascii="Garamond" w:eastAsia="Garamond" w:hAnsi="Garamond" w:cs="Garamond"/>
              </w:rPr>
            </w:pPr>
            <w:r>
              <w:rPr>
                <w:rFonts w:ascii="Garamond" w:eastAsia="Garamond" w:hAnsi="Garamond" w:cs="Garamond"/>
                <w:b/>
                <w:sz w:val="18"/>
                <w:szCs w:val="18"/>
              </w:rPr>
              <w:t>TOTAL</w:t>
            </w:r>
          </w:p>
        </w:tc>
        <w:tc>
          <w:tcPr>
            <w:tcW w:w="138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4782867A" w14:textId="77777777" w:rsidR="002B1F19" w:rsidRDefault="00F80E55">
            <w:pPr>
              <w:widowControl w:val="0"/>
              <w:spacing w:line="240" w:lineRule="auto"/>
              <w:rPr>
                <w:rFonts w:ascii="Garamond" w:eastAsia="Garamond" w:hAnsi="Garamond" w:cs="Garamond"/>
              </w:rPr>
            </w:pPr>
            <w:r>
              <w:rPr>
                <w:rFonts w:ascii="Garamond" w:eastAsia="Garamond" w:hAnsi="Garamond" w:cs="Garamond"/>
                <w:b/>
                <w:sz w:val="18"/>
                <w:szCs w:val="18"/>
              </w:rPr>
              <w:t>51</w:t>
            </w:r>
          </w:p>
        </w:tc>
        <w:tc>
          <w:tcPr>
            <w:tcW w:w="136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756DD746" w14:textId="77777777" w:rsidR="002B1F19" w:rsidRDefault="00F80E55">
            <w:pPr>
              <w:widowControl w:val="0"/>
              <w:spacing w:line="240" w:lineRule="auto"/>
              <w:rPr>
                <w:rFonts w:ascii="Garamond" w:eastAsia="Garamond" w:hAnsi="Garamond" w:cs="Garamond"/>
              </w:rPr>
            </w:pPr>
            <w:r>
              <w:rPr>
                <w:rFonts w:ascii="Garamond" w:eastAsia="Garamond" w:hAnsi="Garamond" w:cs="Garamond"/>
                <w:b/>
                <w:sz w:val="18"/>
                <w:szCs w:val="18"/>
              </w:rPr>
              <w:t>48</w:t>
            </w:r>
          </w:p>
        </w:tc>
        <w:tc>
          <w:tcPr>
            <w:tcW w:w="1360" w:type="dxa"/>
            <w:tcBorders>
              <w:top w:val="single" w:sz="8" w:space="0" w:color="434343"/>
              <w:left w:val="single" w:sz="8" w:space="0" w:color="434343"/>
              <w:bottom w:val="single" w:sz="8" w:space="0" w:color="434343"/>
              <w:right w:val="single" w:sz="8" w:space="0" w:color="434343"/>
            </w:tcBorders>
            <w:tcMar>
              <w:top w:w="60" w:type="dxa"/>
              <w:left w:w="100" w:type="dxa"/>
              <w:bottom w:w="60" w:type="dxa"/>
              <w:right w:w="100" w:type="dxa"/>
            </w:tcMar>
          </w:tcPr>
          <w:p w14:paraId="11E89A49" w14:textId="77777777" w:rsidR="002B1F19" w:rsidRDefault="00F80E55">
            <w:pPr>
              <w:widowControl w:val="0"/>
              <w:spacing w:line="240" w:lineRule="auto"/>
              <w:rPr>
                <w:rFonts w:ascii="Garamond" w:eastAsia="Garamond" w:hAnsi="Garamond" w:cs="Garamond"/>
              </w:rPr>
            </w:pPr>
            <w:r>
              <w:rPr>
                <w:rFonts w:ascii="Garamond" w:eastAsia="Garamond" w:hAnsi="Garamond" w:cs="Garamond"/>
                <w:b/>
                <w:sz w:val="18"/>
                <w:szCs w:val="18"/>
              </w:rPr>
              <w:t>60</w:t>
            </w:r>
          </w:p>
        </w:tc>
        <w:tc>
          <w:tcPr>
            <w:tcW w:w="1400" w:type="dxa"/>
            <w:tcBorders>
              <w:top w:val="single" w:sz="8" w:space="0" w:color="434343"/>
              <w:left w:val="single" w:sz="8" w:space="0" w:color="434343"/>
              <w:bottom w:val="single" w:sz="8" w:space="0" w:color="434343"/>
              <w:right w:val="single" w:sz="8" w:space="0" w:color="434343"/>
            </w:tcBorders>
            <w:shd w:val="clear" w:color="auto" w:fill="C9DAF8"/>
            <w:tcMar>
              <w:top w:w="60" w:type="dxa"/>
              <w:left w:w="100" w:type="dxa"/>
              <w:bottom w:w="60" w:type="dxa"/>
              <w:right w:w="100" w:type="dxa"/>
            </w:tcMar>
          </w:tcPr>
          <w:p w14:paraId="23738DC1" w14:textId="77777777" w:rsidR="002B1F19" w:rsidRDefault="00F80E55">
            <w:pPr>
              <w:widowControl w:val="0"/>
              <w:spacing w:line="240" w:lineRule="auto"/>
              <w:rPr>
                <w:rFonts w:ascii="Garamond" w:eastAsia="Garamond" w:hAnsi="Garamond" w:cs="Garamond"/>
                <w:b/>
                <w:sz w:val="18"/>
                <w:szCs w:val="18"/>
              </w:rPr>
            </w:pPr>
            <w:r>
              <w:rPr>
                <w:rFonts w:ascii="Garamond" w:eastAsia="Garamond" w:hAnsi="Garamond" w:cs="Garamond"/>
                <w:b/>
                <w:sz w:val="18"/>
                <w:szCs w:val="18"/>
              </w:rPr>
              <w:t>65</w:t>
            </w:r>
          </w:p>
        </w:tc>
        <w:tc>
          <w:tcPr>
            <w:tcW w:w="1400" w:type="dxa"/>
            <w:tcBorders>
              <w:top w:val="single" w:sz="8" w:space="0" w:color="434343"/>
              <w:left w:val="single" w:sz="8" w:space="0" w:color="434343"/>
              <w:bottom w:val="single" w:sz="8" w:space="0" w:color="434343"/>
              <w:right w:val="single" w:sz="8" w:space="0" w:color="434343"/>
            </w:tcBorders>
            <w:shd w:val="clear" w:color="auto" w:fill="FFAB40"/>
            <w:tcMar>
              <w:top w:w="60" w:type="dxa"/>
              <w:left w:w="100" w:type="dxa"/>
              <w:bottom w:w="60" w:type="dxa"/>
              <w:right w:w="100" w:type="dxa"/>
            </w:tcMar>
          </w:tcPr>
          <w:p w14:paraId="2311F789" w14:textId="77777777" w:rsidR="002B1F19" w:rsidRDefault="002B1F19">
            <w:pPr>
              <w:widowControl w:val="0"/>
              <w:spacing w:line="240" w:lineRule="auto"/>
              <w:rPr>
                <w:rFonts w:ascii="Garamond" w:eastAsia="Garamond" w:hAnsi="Garamond" w:cs="Garamond"/>
                <w:b/>
                <w:sz w:val="18"/>
                <w:szCs w:val="18"/>
              </w:rPr>
            </w:pPr>
          </w:p>
        </w:tc>
      </w:tr>
    </w:tbl>
    <w:p w14:paraId="7F00EB46" w14:textId="77777777" w:rsidR="002B1F19" w:rsidRDefault="002B1F19">
      <w:pPr>
        <w:spacing w:line="240" w:lineRule="auto"/>
        <w:jc w:val="both"/>
        <w:rPr>
          <w:rFonts w:ascii="Garamond" w:eastAsia="Garamond" w:hAnsi="Garamond" w:cs="Garamond"/>
          <w:i/>
          <w:sz w:val="24"/>
          <w:szCs w:val="24"/>
        </w:rPr>
      </w:pPr>
    </w:p>
    <w:p w14:paraId="614ED24B" w14:textId="77777777" w:rsidR="002B1F19" w:rsidRDefault="002B1F19">
      <w:pPr>
        <w:spacing w:line="240" w:lineRule="auto"/>
        <w:jc w:val="both"/>
        <w:rPr>
          <w:rFonts w:ascii="Garamond" w:eastAsia="Garamond" w:hAnsi="Garamond" w:cs="Garamond"/>
          <w:sz w:val="24"/>
          <w:szCs w:val="24"/>
        </w:rPr>
      </w:pPr>
    </w:p>
    <w:p w14:paraId="27E66D60" w14:textId="77777777" w:rsidR="002B1F19" w:rsidRDefault="00F80E55">
      <w:pPr>
        <w:spacing w:line="240" w:lineRule="auto"/>
        <w:jc w:val="center"/>
        <w:rPr>
          <w:rFonts w:ascii="Garamond" w:eastAsia="Garamond" w:hAnsi="Garamond" w:cs="Garamond"/>
          <w:sz w:val="24"/>
          <w:szCs w:val="24"/>
        </w:rPr>
      </w:pPr>
      <w:r>
        <w:rPr>
          <w:rFonts w:ascii="Garamond" w:eastAsia="Garamond" w:hAnsi="Garamond" w:cs="Garamond"/>
          <w:sz w:val="24"/>
          <w:szCs w:val="24"/>
        </w:rPr>
        <w:t>Fuente: Vicerrectoría de Investigaciones y Posgrados</w:t>
      </w:r>
    </w:p>
    <w:p w14:paraId="4DFEC574" w14:textId="77777777" w:rsidR="002B1F19" w:rsidRDefault="002B1F19">
      <w:pPr>
        <w:spacing w:line="240" w:lineRule="auto"/>
        <w:jc w:val="center"/>
        <w:rPr>
          <w:rFonts w:ascii="Garamond" w:eastAsia="Garamond" w:hAnsi="Garamond" w:cs="Garamond"/>
          <w:sz w:val="24"/>
          <w:szCs w:val="24"/>
        </w:rPr>
      </w:pPr>
    </w:p>
    <w:p w14:paraId="41E9DB37" w14:textId="77777777" w:rsidR="002B1F19" w:rsidRDefault="002B1F19">
      <w:pPr>
        <w:spacing w:line="240" w:lineRule="auto"/>
        <w:jc w:val="center"/>
        <w:rPr>
          <w:rFonts w:ascii="Garamond" w:eastAsia="Garamond" w:hAnsi="Garamond" w:cs="Garamond"/>
          <w:sz w:val="24"/>
          <w:szCs w:val="24"/>
        </w:rPr>
      </w:pPr>
    </w:p>
    <w:p w14:paraId="438BB249" w14:textId="77777777" w:rsidR="002B1F19" w:rsidRDefault="002B1F19">
      <w:pPr>
        <w:spacing w:line="240" w:lineRule="auto"/>
        <w:jc w:val="center"/>
        <w:rPr>
          <w:rFonts w:ascii="Garamond" w:eastAsia="Garamond" w:hAnsi="Garamond" w:cs="Garamond"/>
          <w:sz w:val="24"/>
          <w:szCs w:val="24"/>
        </w:rPr>
      </w:pPr>
    </w:p>
    <w:p w14:paraId="6143642C" w14:textId="77777777" w:rsidR="002B1F19" w:rsidRDefault="002B1F19">
      <w:pPr>
        <w:spacing w:line="240" w:lineRule="auto"/>
        <w:jc w:val="center"/>
        <w:rPr>
          <w:rFonts w:ascii="Garamond" w:eastAsia="Garamond" w:hAnsi="Garamond" w:cs="Garamond"/>
          <w:sz w:val="24"/>
          <w:szCs w:val="24"/>
        </w:rPr>
      </w:pPr>
    </w:p>
    <w:p w14:paraId="7166DB07" w14:textId="77777777" w:rsidR="002B1F19" w:rsidRDefault="002B1F19">
      <w:pPr>
        <w:spacing w:line="240" w:lineRule="auto"/>
        <w:jc w:val="center"/>
        <w:rPr>
          <w:rFonts w:ascii="Garamond" w:eastAsia="Garamond" w:hAnsi="Garamond" w:cs="Garamond"/>
          <w:sz w:val="24"/>
          <w:szCs w:val="24"/>
        </w:rPr>
      </w:pPr>
    </w:p>
    <w:p w14:paraId="11ED7CBA" w14:textId="77777777" w:rsidR="002B1F19" w:rsidRDefault="002B1F19">
      <w:pPr>
        <w:spacing w:line="240" w:lineRule="auto"/>
        <w:jc w:val="center"/>
        <w:rPr>
          <w:rFonts w:ascii="Garamond" w:eastAsia="Garamond" w:hAnsi="Garamond" w:cs="Garamond"/>
          <w:sz w:val="24"/>
          <w:szCs w:val="24"/>
        </w:rPr>
      </w:pPr>
    </w:p>
    <w:p w14:paraId="5ED6B5AC" w14:textId="77777777" w:rsidR="002B1F19" w:rsidRDefault="002B1F19">
      <w:pPr>
        <w:spacing w:line="240" w:lineRule="auto"/>
        <w:jc w:val="center"/>
        <w:rPr>
          <w:rFonts w:ascii="Garamond" w:eastAsia="Garamond" w:hAnsi="Garamond" w:cs="Garamond"/>
          <w:sz w:val="24"/>
          <w:szCs w:val="24"/>
        </w:rPr>
      </w:pPr>
    </w:p>
    <w:p w14:paraId="6E0479F9" w14:textId="77777777" w:rsidR="002B1F19" w:rsidRDefault="002B1F19">
      <w:pPr>
        <w:spacing w:line="240" w:lineRule="auto"/>
        <w:jc w:val="center"/>
        <w:rPr>
          <w:rFonts w:ascii="Garamond" w:eastAsia="Garamond" w:hAnsi="Garamond" w:cs="Garamond"/>
          <w:sz w:val="24"/>
          <w:szCs w:val="24"/>
        </w:rPr>
      </w:pPr>
    </w:p>
    <w:p w14:paraId="3CC83447" w14:textId="77777777" w:rsidR="002B1F19" w:rsidRDefault="00F80E55">
      <w:pPr>
        <w:spacing w:line="240" w:lineRule="auto"/>
        <w:jc w:val="both"/>
        <w:rPr>
          <w:rFonts w:ascii="Garamond" w:eastAsia="Garamond" w:hAnsi="Garamond" w:cs="Garamond"/>
          <w:i/>
          <w:sz w:val="24"/>
          <w:szCs w:val="24"/>
        </w:rPr>
      </w:pPr>
      <w:r>
        <w:rPr>
          <w:rFonts w:ascii="Garamond" w:eastAsia="Garamond" w:hAnsi="Garamond" w:cs="Garamond"/>
          <w:i/>
          <w:sz w:val="24"/>
          <w:szCs w:val="24"/>
        </w:rPr>
        <w:t>d. Proyectos de investigación aplicada con aplicaciones en curso</w:t>
      </w:r>
    </w:p>
    <w:p w14:paraId="678A5425" w14:textId="77777777" w:rsidR="002B1F19" w:rsidRDefault="002B1F19">
      <w:pPr>
        <w:spacing w:line="240" w:lineRule="auto"/>
        <w:jc w:val="both"/>
        <w:rPr>
          <w:rFonts w:ascii="Garamond" w:eastAsia="Garamond" w:hAnsi="Garamond" w:cs="Garamond"/>
          <w:i/>
          <w:sz w:val="24"/>
          <w:szCs w:val="24"/>
        </w:rPr>
      </w:pPr>
    </w:p>
    <w:p w14:paraId="40CAECCD" w14:textId="77777777" w:rsidR="002B1F19" w:rsidRDefault="002B1F19">
      <w:pPr>
        <w:spacing w:line="240" w:lineRule="auto"/>
        <w:jc w:val="both"/>
        <w:rPr>
          <w:rFonts w:ascii="Garamond" w:eastAsia="Garamond" w:hAnsi="Garamond" w:cs="Garamond"/>
          <w:i/>
          <w:sz w:val="24"/>
          <w:szCs w:val="24"/>
        </w:rPr>
      </w:pPr>
    </w:p>
    <w:p w14:paraId="43EB5AC0" w14:textId="77777777" w:rsidR="002B1F19" w:rsidRDefault="00F80E55">
      <w:pPr>
        <w:spacing w:line="240" w:lineRule="auto"/>
        <w:jc w:val="center"/>
        <w:rPr>
          <w:rFonts w:ascii="Times New Roman" w:eastAsia="Times New Roman" w:hAnsi="Times New Roman" w:cs="Times New Roman"/>
          <w:sz w:val="21"/>
          <w:szCs w:val="21"/>
        </w:rPr>
      </w:pPr>
      <w:commentRangeStart w:id="1"/>
      <w:r>
        <w:rPr>
          <w:rFonts w:ascii="Times New Roman" w:eastAsia="Times New Roman" w:hAnsi="Times New Roman" w:cs="Times New Roman"/>
          <w:noProof/>
          <w:sz w:val="21"/>
          <w:szCs w:val="21"/>
        </w:rPr>
        <w:lastRenderedPageBreak/>
        <w:drawing>
          <wp:inline distT="0" distB="0" distL="0" distR="0" wp14:anchorId="01979EDC" wp14:editId="30B609AE">
            <wp:extent cx="3931259" cy="2147210"/>
            <wp:effectExtent l="0" t="0" r="0" b="0"/>
            <wp:docPr id="1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
                    <a:srcRect t="7764"/>
                    <a:stretch>
                      <a:fillRect/>
                    </a:stretch>
                  </pic:blipFill>
                  <pic:spPr>
                    <a:xfrm>
                      <a:off x="0" y="0"/>
                      <a:ext cx="3931259" cy="2147210"/>
                    </a:xfrm>
                    <a:prstGeom prst="rect">
                      <a:avLst/>
                    </a:prstGeom>
                    <a:ln/>
                  </pic:spPr>
                </pic:pic>
              </a:graphicData>
            </a:graphic>
          </wp:inline>
        </w:drawing>
      </w:r>
      <w:commentRangeEnd w:id="1"/>
      <w:r>
        <w:commentReference w:id="1"/>
      </w:r>
    </w:p>
    <w:p w14:paraId="37054F44" w14:textId="77777777" w:rsidR="002B1F19" w:rsidRDefault="00F80E55">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Fuente: Oficina Asesora de Planeación y Sistemas</w:t>
      </w:r>
    </w:p>
    <w:p w14:paraId="61BEC389" w14:textId="77777777" w:rsidR="002B1F19" w:rsidRDefault="002B1F19">
      <w:pPr>
        <w:spacing w:line="240" w:lineRule="auto"/>
        <w:jc w:val="center"/>
        <w:rPr>
          <w:rFonts w:ascii="Times New Roman" w:eastAsia="Times New Roman" w:hAnsi="Times New Roman" w:cs="Times New Roman"/>
          <w:color w:val="FF0000"/>
          <w:sz w:val="21"/>
          <w:szCs w:val="21"/>
        </w:rPr>
      </w:pPr>
    </w:p>
    <w:p w14:paraId="6E6044D2" w14:textId="77777777" w:rsidR="002B1F19" w:rsidRDefault="00F80E55">
      <w:pPr>
        <w:spacing w:line="240" w:lineRule="auto"/>
        <w:jc w:val="both"/>
        <w:rPr>
          <w:rFonts w:ascii="Garamond" w:eastAsia="Garamond" w:hAnsi="Garamond" w:cs="Garamond"/>
          <w:i/>
          <w:color w:val="FF0000"/>
          <w:sz w:val="24"/>
          <w:szCs w:val="24"/>
        </w:rPr>
      </w:pPr>
      <w:r>
        <w:rPr>
          <w:rFonts w:ascii="Times New Roman" w:eastAsia="Times New Roman" w:hAnsi="Times New Roman" w:cs="Times New Roman"/>
          <w:color w:val="FF0000"/>
          <w:sz w:val="21"/>
          <w:szCs w:val="21"/>
        </w:rPr>
        <w:t>En el año 2018 se inscribieron 42 proyectos bajo la modalidad de investigación aplicada sobre 68 proyectos presentados en la vigencia.</w:t>
      </w:r>
    </w:p>
    <w:p w14:paraId="7E3D1543" w14:textId="77777777" w:rsidR="002B1F19" w:rsidRDefault="002B1F19">
      <w:pPr>
        <w:spacing w:line="240" w:lineRule="auto"/>
        <w:jc w:val="both"/>
        <w:rPr>
          <w:rFonts w:ascii="Garamond" w:eastAsia="Garamond" w:hAnsi="Garamond" w:cs="Garamond"/>
          <w:i/>
          <w:sz w:val="24"/>
          <w:szCs w:val="24"/>
        </w:rPr>
      </w:pPr>
    </w:p>
    <w:p w14:paraId="0865979D" w14:textId="77777777" w:rsidR="002B1F19" w:rsidRDefault="002B1F19">
      <w:pPr>
        <w:spacing w:line="240" w:lineRule="auto"/>
        <w:jc w:val="both"/>
        <w:rPr>
          <w:rFonts w:ascii="Garamond" w:eastAsia="Garamond" w:hAnsi="Garamond" w:cs="Garamond"/>
          <w:i/>
          <w:sz w:val="24"/>
          <w:szCs w:val="24"/>
        </w:rPr>
      </w:pPr>
    </w:p>
    <w:p w14:paraId="3C7627A5" w14:textId="77777777" w:rsidR="002B1F19" w:rsidRDefault="002B1F19">
      <w:pPr>
        <w:spacing w:line="240" w:lineRule="auto"/>
        <w:jc w:val="both"/>
        <w:rPr>
          <w:rFonts w:ascii="Garamond" w:eastAsia="Garamond" w:hAnsi="Garamond" w:cs="Garamond"/>
          <w:i/>
          <w:sz w:val="24"/>
          <w:szCs w:val="24"/>
        </w:rPr>
      </w:pPr>
    </w:p>
    <w:p w14:paraId="1BDBB4F8" w14:textId="77777777" w:rsidR="002B1F19" w:rsidRDefault="002B1F19">
      <w:pPr>
        <w:spacing w:line="240" w:lineRule="auto"/>
        <w:jc w:val="both"/>
        <w:rPr>
          <w:rFonts w:ascii="Garamond" w:eastAsia="Garamond" w:hAnsi="Garamond" w:cs="Garamond"/>
          <w:i/>
          <w:sz w:val="24"/>
          <w:szCs w:val="24"/>
        </w:rPr>
      </w:pPr>
    </w:p>
    <w:p w14:paraId="56BA4145" w14:textId="77777777" w:rsidR="002B1F19" w:rsidRDefault="002B1F19">
      <w:pPr>
        <w:spacing w:line="240" w:lineRule="auto"/>
        <w:jc w:val="both"/>
        <w:rPr>
          <w:rFonts w:ascii="Garamond" w:eastAsia="Garamond" w:hAnsi="Garamond" w:cs="Garamond"/>
          <w:i/>
          <w:sz w:val="24"/>
          <w:szCs w:val="24"/>
        </w:rPr>
      </w:pPr>
    </w:p>
    <w:p w14:paraId="4266D03A" w14:textId="77777777" w:rsidR="002B1F19" w:rsidRDefault="002B1F19">
      <w:pPr>
        <w:spacing w:line="240" w:lineRule="auto"/>
        <w:jc w:val="both"/>
        <w:rPr>
          <w:rFonts w:ascii="Garamond" w:eastAsia="Garamond" w:hAnsi="Garamond" w:cs="Garamond"/>
          <w:i/>
          <w:sz w:val="24"/>
          <w:szCs w:val="24"/>
        </w:rPr>
      </w:pPr>
    </w:p>
    <w:p w14:paraId="7D4F2AF1" w14:textId="77777777" w:rsidR="002B1F19" w:rsidRDefault="002B1F19">
      <w:pPr>
        <w:spacing w:line="240" w:lineRule="auto"/>
        <w:jc w:val="both"/>
        <w:rPr>
          <w:rFonts w:ascii="Garamond" w:eastAsia="Garamond" w:hAnsi="Garamond" w:cs="Garamond"/>
          <w:i/>
          <w:sz w:val="24"/>
          <w:szCs w:val="24"/>
        </w:rPr>
      </w:pPr>
    </w:p>
    <w:p w14:paraId="612F52A4" w14:textId="77777777" w:rsidR="002B1F19" w:rsidRDefault="002B1F19">
      <w:pPr>
        <w:spacing w:line="240" w:lineRule="auto"/>
        <w:jc w:val="both"/>
        <w:rPr>
          <w:rFonts w:ascii="Garamond" w:eastAsia="Garamond" w:hAnsi="Garamond" w:cs="Garamond"/>
          <w:i/>
          <w:sz w:val="24"/>
          <w:szCs w:val="24"/>
        </w:rPr>
      </w:pPr>
    </w:p>
    <w:p w14:paraId="6F82376A" w14:textId="77777777" w:rsidR="002B1F19" w:rsidRDefault="002B1F19">
      <w:pPr>
        <w:spacing w:line="240" w:lineRule="auto"/>
        <w:jc w:val="both"/>
        <w:rPr>
          <w:rFonts w:ascii="Garamond" w:eastAsia="Garamond" w:hAnsi="Garamond" w:cs="Garamond"/>
          <w:i/>
          <w:sz w:val="24"/>
          <w:szCs w:val="24"/>
        </w:rPr>
      </w:pPr>
    </w:p>
    <w:p w14:paraId="7194D58A" w14:textId="77777777" w:rsidR="002B1F19" w:rsidRDefault="002B1F19">
      <w:pPr>
        <w:spacing w:line="240" w:lineRule="auto"/>
        <w:jc w:val="both"/>
        <w:rPr>
          <w:rFonts w:ascii="Garamond" w:eastAsia="Garamond" w:hAnsi="Garamond" w:cs="Garamond"/>
          <w:i/>
          <w:sz w:val="24"/>
          <w:szCs w:val="24"/>
        </w:rPr>
      </w:pPr>
    </w:p>
    <w:p w14:paraId="75D10F08" w14:textId="77777777" w:rsidR="002B1F19" w:rsidRDefault="002B1F19">
      <w:pPr>
        <w:spacing w:line="240" w:lineRule="auto"/>
        <w:jc w:val="both"/>
        <w:rPr>
          <w:rFonts w:ascii="Garamond" w:eastAsia="Garamond" w:hAnsi="Garamond" w:cs="Garamond"/>
          <w:i/>
          <w:sz w:val="24"/>
          <w:szCs w:val="24"/>
        </w:rPr>
      </w:pPr>
    </w:p>
    <w:p w14:paraId="703AA881" w14:textId="77777777" w:rsidR="002B1F19" w:rsidRDefault="002B1F19">
      <w:pPr>
        <w:spacing w:line="240" w:lineRule="auto"/>
        <w:jc w:val="both"/>
        <w:rPr>
          <w:rFonts w:ascii="Garamond" w:eastAsia="Garamond" w:hAnsi="Garamond" w:cs="Garamond"/>
          <w:i/>
          <w:sz w:val="24"/>
          <w:szCs w:val="24"/>
        </w:rPr>
      </w:pPr>
    </w:p>
    <w:p w14:paraId="155F4DC8" w14:textId="77777777" w:rsidR="002B1F19" w:rsidRDefault="002B1F19">
      <w:pPr>
        <w:spacing w:line="240" w:lineRule="auto"/>
        <w:jc w:val="both"/>
        <w:rPr>
          <w:rFonts w:ascii="Garamond" w:eastAsia="Garamond" w:hAnsi="Garamond" w:cs="Garamond"/>
          <w:i/>
          <w:sz w:val="24"/>
          <w:szCs w:val="24"/>
        </w:rPr>
      </w:pPr>
    </w:p>
    <w:p w14:paraId="0437C14F" w14:textId="77777777" w:rsidR="002B1F19" w:rsidRDefault="002B1F19">
      <w:pPr>
        <w:spacing w:line="240" w:lineRule="auto"/>
        <w:jc w:val="both"/>
        <w:rPr>
          <w:rFonts w:ascii="Garamond" w:eastAsia="Garamond" w:hAnsi="Garamond" w:cs="Garamond"/>
          <w:i/>
          <w:sz w:val="24"/>
          <w:szCs w:val="24"/>
        </w:rPr>
      </w:pPr>
    </w:p>
    <w:p w14:paraId="69FFAA65" w14:textId="77777777" w:rsidR="002B1F19" w:rsidRDefault="002B1F19">
      <w:pPr>
        <w:spacing w:line="240" w:lineRule="auto"/>
        <w:jc w:val="both"/>
        <w:rPr>
          <w:rFonts w:ascii="Garamond" w:eastAsia="Garamond" w:hAnsi="Garamond" w:cs="Garamond"/>
          <w:i/>
          <w:sz w:val="24"/>
          <w:szCs w:val="24"/>
        </w:rPr>
      </w:pPr>
    </w:p>
    <w:p w14:paraId="1038D576" w14:textId="77777777" w:rsidR="002B1F19" w:rsidRDefault="002B1F19">
      <w:pPr>
        <w:spacing w:line="240" w:lineRule="auto"/>
        <w:jc w:val="both"/>
        <w:rPr>
          <w:rFonts w:ascii="Garamond" w:eastAsia="Garamond" w:hAnsi="Garamond" w:cs="Garamond"/>
          <w:i/>
          <w:sz w:val="24"/>
          <w:szCs w:val="24"/>
        </w:rPr>
      </w:pPr>
    </w:p>
    <w:p w14:paraId="6F61D180" w14:textId="77777777" w:rsidR="002B1F19" w:rsidRDefault="002B1F19">
      <w:pPr>
        <w:spacing w:line="240" w:lineRule="auto"/>
        <w:jc w:val="both"/>
        <w:rPr>
          <w:rFonts w:ascii="Garamond" w:eastAsia="Garamond" w:hAnsi="Garamond" w:cs="Garamond"/>
          <w:i/>
          <w:sz w:val="24"/>
          <w:szCs w:val="24"/>
        </w:rPr>
      </w:pPr>
    </w:p>
    <w:p w14:paraId="16AF2033" w14:textId="77777777" w:rsidR="002B1F19" w:rsidRDefault="002B1F19">
      <w:pPr>
        <w:spacing w:line="240" w:lineRule="auto"/>
        <w:jc w:val="both"/>
        <w:rPr>
          <w:rFonts w:ascii="Garamond" w:eastAsia="Garamond" w:hAnsi="Garamond" w:cs="Garamond"/>
          <w:i/>
          <w:sz w:val="24"/>
          <w:szCs w:val="24"/>
        </w:rPr>
      </w:pPr>
    </w:p>
    <w:p w14:paraId="57731260" w14:textId="77777777" w:rsidR="002B1F19" w:rsidRDefault="002B1F19">
      <w:pPr>
        <w:spacing w:line="240" w:lineRule="auto"/>
        <w:jc w:val="both"/>
        <w:rPr>
          <w:rFonts w:ascii="Garamond" w:eastAsia="Garamond" w:hAnsi="Garamond" w:cs="Garamond"/>
          <w:i/>
          <w:sz w:val="24"/>
          <w:szCs w:val="24"/>
        </w:rPr>
      </w:pPr>
    </w:p>
    <w:p w14:paraId="7494E282" w14:textId="77777777" w:rsidR="002B1F19" w:rsidRDefault="002B1F19">
      <w:pPr>
        <w:spacing w:line="240" w:lineRule="auto"/>
        <w:jc w:val="both"/>
        <w:rPr>
          <w:rFonts w:ascii="Garamond" w:eastAsia="Garamond" w:hAnsi="Garamond" w:cs="Garamond"/>
          <w:i/>
          <w:sz w:val="24"/>
          <w:szCs w:val="24"/>
        </w:rPr>
      </w:pPr>
    </w:p>
    <w:p w14:paraId="0EC29C2D" w14:textId="77777777" w:rsidR="002B1F19" w:rsidRDefault="002B1F19">
      <w:pPr>
        <w:spacing w:line="240" w:lineRule="auto"/>
        <w:jc w:val="both"/>
        <w:rPr>
          <w:rFonts w:ascii="Garamond" w:eastAsia="Garamond" w:hAnsi="Garamond" w:cs="Garamond"/>
          <w:i/>
          <w:sz w:val="24"/>
          <w:szCs w:val="24"/>
        </w:rPr>
      </w:pPr>
    </w:p>
    <w:p w14:paraId="5AEE2311" w14:textId="77777777" w:rsidR="002B1F19" w:rsidRDefault="002B1F19">
      <w:pPr>
        <w:spacing w:line="240" w:lineRule="auto"/>
        <w:jc w:val="both"/>
        <w:rPr>
          <w:rFonts w:ascii="Garamond" w:eastAsia="Garamond" w:hAnsi="Garamond" w:cs="Garamond"/>
          <w:i/>
          <w:sz w:val="24"/>
          <w:szCs w:val="24"/>
        </w:rPr>
      </w:pPr>
    </w:p>
    <w:p w14:paraId="7CC43045" w14:textId="77777777" w:rsidR="002B1F19" w:rsidRDefault="002B1F19">
      <w:pPr>
        <w:spacing w:line="240" w:lineRule="auto"/>
        <w:jc w:val="both"/>
        <w:rPr>
          <w:rFonts w:ascii="Garamond" w:eastAsia="Garamond" w:hAnsi="Garamond" w:cs="Garamond"/>
          <w:i/>
          <w:sz w:val="24"/>
          <w:szCs w:val="24"/>
        </w:rPr>
      </w:pPr>
    </w:p>
    <w:p w14:paraId="0D7CB2E4" w14:textId="77777777" w:rsidR="002B1F19" w:rsidRDefault="002B1F19">
      <w:pPr>
        <w:spacing w:line="240" w:lineRule="auto"/>
        <w:jc w:val="both"/>
        <w:rPr>
          <w:rFonts w:ascii="Garamond" w:eastAsia="Garamond" w:hAnsi="Garamond" w:cs="Garamond"/>
          <w:i/>
          <w:sz w:val="24"/>
          <w:szCs w:val="24"/>
        </w:rPr>
      </w:pPr>
    </w:p>
    <w:p w14:paraId="03E796FE" w14:textId="77777777" w:rsidR="002B1F19" w:rsidRDefault="002B1F19">
      <w:pPr>
        <w:spacing w:line="240" w:lineRule="auto"/>
        <w:jc w:val="both"/>
        <w:rPr>
          <w:rFonts w:ascii="Garamond" w:eastAsia="Garamond" w:hAnsi="Garamond" w:cs="Garamond"/>
          <w:i/>
          <w:sz w:val="24"/>
          <w:szCs w:val="24"/>
        </w:rPr>
      </w:pPr>
    </w:p>
    <w:p w14:paraId="669850A8" w14:textId="77777777" w:rsidR="002B1F19" w:rsidRDefault="002B1F19">
      <w:pPr>
        <w:spacing w:line="240" w:lineRule="auto"/>
        <w:jc w:val="both"/>
        <w:rPr>
          <w:rFonts w:ascii="Garamond" w:eastAsia="Garamond" w:hAnsi="Garamond" w:cs="Garamond"/>
          <w:i/>
          <w:sz w:val="24"/>
          <w:szCs w:val="24"/>
        </w:rPr>
      </w:pPr>
    </w:p>
    <w:p w14:paraId="7C5B3AAF" w14:textId="77777777" w:rsidR="002B1F19" w:rsidRDefault="002B1F19">
      <w:pPr>
        <w:spacing w:line="240" w:lineRule="auto"/>
        <w:jc w:val="both"/>
        <w:rPr>
          <w:rFonts w:ascii="Garamond" w:eastAsia="Garamond" w:hAnsi="Garamond" w:cs="Garamond"/>
          <w:i/>
          <w:sz w:val="24"/>
          <w:szCs w:val="24"/>
        </w:rPr>
      </w:pPr>
    </w:p>
    <w:p w14:paraId="52E73CDD" w14:textId="77777777" w:rsidR="002B1F19" w:rsidRDefault="002B1F19">
      <w:pPr>
        <w:spacing w:line="240" w:lineRule="auto"/>
        <w:jc w:val="both"/>
        <w:rPr>
          <w:rFonts w:ascii="Garamond" w:eastAsia="Garamond" w:hAnsi="Garamond" w:cs="Garamond"/>
          <w:i/>
          <w:sz w:val="24"/>
          <w:szCs w:val="24"/>
        </w:rPr>
      </w:pPr>
    </w:p>
    <w:p w14:paraId="0C16DCB4" w14:textId="77777777" w:rsidR="002B1F19" w:rsidRDefault="002B1F19">
      <w:pPr>
        <w:spacing w:line="240" w:lineRule="auto"/>
        <w:jc w:val="both"/>
        <w:rPr>
          <w:rFonts w:ascii="Garamond" w:eastAsia="Garamond" w:hAnsi="Garamond" w:cs="Garamond"/>
          <w:i/>
          <w:sz w:val="24"/>
          <w:szCs w:val="24"/>
        </w:rPr>
      </w:pPr>
    </w:p>
    <w:p w14:paraId="641DA6E0" w14:textId="77777777" w:rsidR="002B1F19" w:rsidRDefault="002B1F19">
      <w:pPr>
        <w:spacing w:line="240" w:lineRule="auto"/>
        <w:jc w:val="both"/>
        <w:rPr>
          <w:rFonts w:ascii="Garamond" w:eastAsia="Garamond" w:hAnsi="Garamond" w:cs="Garamond"/>
          <w:sz w:val="24"/>
          <w:szCs w:val="24"/>
        </w:rPr>
      </w:pPr>
    </w:p>
    <w:p w14:paraId="6097D622" w14:textId="77777777" w:rsidR="002B1F19" w:rsidRDefault="00F80E55">
      <w:pPr>
        <w:spacing w:line="240" w:lineRule="auto"/>
        <w:ind w:firstLine="720"/>
        <w:jc w:val="center"/>
        <w:rPr>
          <w:rFonts w:ascii="Garamond" w:eastAsia="Garamond" w:hAnsi="Garamond" w:cs="Garamond"/>
          <w:b/>
          <w:sz w:val="24"/>
          <w:szCs w:val="24"/>
        </w:rPr>
      </w:pPr>
      <w:r>
        <w:rPr>
          <w:rFonts w:ascii="Garamond" w:eastAsia="Garamond" w:hAnsi="Garamond" w:cs="Garamond"/>
          <w:b/>
          <w:sz w:val="24"/>
          <w:szCs w:val="24"/>
        </w:rPr>
        <w:t xml:space="preserve">2. Situación actual de la investigación en la Universidad de Caldas </w:t>
      </w:r>
    </w:p>
    <w:p w14:paraId="3BFED2BC" w14:textId="77777777" w:rsidR="002B1F19" w:rsidRDefault="002B1F19">
      <w:pPr>
        <w:spacing w:line="240" w:lineRule="auto"/>
        <w:jc w:val="both"/>
        <w:rPr>
          <w:rFonts w:ascii="Garamond" w:eastAsia="Garamond" w:hAnsi="Garamond" w:cs="Garamond"/>
          <w:sz w:val="24"/>
          <w:szCs w:val="24"/>
        </w:rPr>
      </w:pPr>
    </w:p>
    <w:p w14:paraId="39E73DDB" w14:textId="77777777" w:rsidR="002B1F19" w:rsidRDefault="002B1F19">
      <w:pPr>
        <w:spacing w:line="240" w:lineRule="auto"/>
        <w:jc w:val="both"/>
        <w:rPr>
          <w:rFonts w:ascii="Garamond" w:eastAsia="Garamond" w:hAnsi="Garamond" w:cs="Garamond"/>
          <w:sz w:val="24"/>
          <w:szCs w:val="24"/>
        </w:rPr>
      </w:pPr>
    </w:p>
    <w:p w14:paraId="773CBFF0" w14:textId="77777777" w:rsidR="002B1F19" w:rsidRDefault="00F80E55">
      <w:pPr>
        <w:jc w:val="both"/>
        <w:rPr>
          <w:rFonts w:ascii="Garamond" w:eastAsia="Garamond" w:hAnsi="Garamond" w:cs="Garamond"/>
          <w:i/>
          <w:sz w:val="24"/>
          <w:szCs w:val="24"/>
        </w:rPr>
      </w:pPr>
      <w:r>
        <w:rPr>
          <w:rFonts w:ascii="Garamond" w:eastAsia="Garamond" w:hAnsi="Garamond" w:cs="Garamond"/>
          <w:i/>
          <w:sz w:val="24"/>
          <w:szCs w:val="24"/>
        </w:rPr>
        <w:t>a. Grupos de investigación</w:t>
      </w:r>
    </w:p>
    <w:p w14:paraId="709C6208" w14:textId="77777777" w:rsidR="002B1F19" w:rsidRDefault="002B1F19">
      <w:pPr>
        <w:jc w:val="both"/>
        <w:rPr>
          <w:rFonts w:ascii="Garamond" w:eastAsia="Garamond" w:hAnsi="Garamond" w:cs="Garamond"/>
          <w:i/>
          <w:sz w:val="24"/>
          <w:szCs w:val="24"/>
        </w:rPr>
      </w:pPr>
    </w:p>
    <w:p w14:paraId="3A69B2E2"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lastRenderedPageBreak/>
        <w:t>Entre los años 2013 y 2017, se registra un incremento del número de grupos de investigación clasificados por Colciencias al pasar de 51 en la convocatoria de</w:t>
      </w:r>
      <w:r>
        <w:rPr>
          <w:rFonts w:ascii="Garamond" w:eastAsia="Garamond" w:hAnsi="Garamond" w:cs="Garamond"/>
          <w:sz w:val="24"/>
          <w:szCs w:val="24"/>
        </w:rPr>
        <w:t xml:space="preserve">l año 2013 a 59 en la del año 2017. Se destaca que el 38,9% de los grupos clasificados se encuentran en las categorías superiores A1 y A; el 25,4% en la categoría B y el 35,5% en la categoría C. </w:t>
      </w:r>
    </w:p>
    <w:p w14:paraId="04006A30" w14:textId="77777777" w:rsidR="002B1F19" w:rsidRDefault="002B1F19">
      <w:pPr>
        <w:jc w:val="both"/>
        <w:rPr>
          <w:rFonts w:ascii="Garamond" w:eastAsia="Garamond" w:hAnsi="Garamond" w:cs="Garamond"/>
          <w:sz w:val="24"/>
          <w:szCs w:val="24"/>
        </w:rPr>
      </w:pPr>
    </w:p>
    <w:p w14:paraId="1EF65E00" w14:textId="77777777" w:rsidR="002B1F19" w:rsidRDefault="00F80E55">
      <w:pPr>
        <w:jc w:val="both"/>
        <w:rPr>
          <w:rFonts w:ascii="Garamond" w:eastAsia="Garamond" w:hAnsi="Garamond" w:cs="Garamond"/>
          <w:i/>
          <w:sz w:val="24"/>
          <w:szCs w:val="24"/>
        </w:rPr>
      </w:pPr>
      <w:r>
        <w:rPr>
          <w:rFonts w:ascii="Garamond" w:eastAsia="Garamond" w:hAnsi="Garamond" w:cs="Garamond"/>
          <w:i/>
          <w:noProof/>
          <w:sz w:val="24"/>
          <w:szCs w:val="24"/>
        </w:rPr>
        <w:drawing>
          <wp:inline distT="114300" distB="114300" distL="114300" distR="114300" wp14:anchorId="529E350C" wp14:editId="1A65F4BA">
            <wp:extent cx="5886450" cy="1800225"/>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l="1410" t="12299" r="15531" b="36186"/>
                    <a:stretch>
                      <a:fillRect/>
                    </a:stretch>
                  </pic:blipFill>
                  <pic:spPr>
                    <a:xfrm>
                      <a:off x="0" y="0"/>
                      <a:ext cx="5886450" cy="1800225"/>
                    </a:xfrm>
                    <a:prstGeom prst="rect">
                      <a:avLst/>
                    </a:prstGeom>
                    <a:ln/>
                  </pic:spPr>
                </pic:pic>
              </a:graphicData>
            </a:graphic>
          </wp:inline>
        </w:drawing>
      </w:r>
    </w:p>
    <w:p w14:paraId="6C80E011" w14:textId="77777777" w:rsidR="002B1F19" w:rsidRDefault="002B1F19">
      <w:pPr>
        <w:jc w:val="both"/>
        <w:rPr>
          <w:rFonts w:ascii="Garamond" w:eastAsia="Garamond" w:hAnsi="Garamond" w:cs="Garamond"/>
          <w:i/>
          <w:sz w:val="24"/>
          <w:szCs w:val="24"/>
        </w:rPr>
      </w:pPr>
    </w:p>
    <w:p w14:paraId="2720E39D"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Al analizar la distribución de los grupos por Facultades</w:t>
      </w:r>
      <w:r>
        <w:rPr>
          <w:rFonts w:ascii="Garamond" w:eastAsia="Garamond" w:hAnsi="Garamond" w:cs="Garamond"/>
          <w:sz w:val="24"/>
          <w:szCs w:val="24"/>
        </w:rPr>
        <w:t xml:space="preserve"> según Gran Área OCDE, se observa la existencia de grupos en las Facultades que se inscriben en diferentes áreas según el parámetro de referencia. Se destaca que los grupos de algunas Facultades (Artes y Humanidades, Ciencias Agropecuarias, Ciencias Exacta</w:t>
      </w:r>
      <w:r>
        <w:rPr>
          <w:rFonts w:ascii="Garamond" w:eastAsia="Garamond" w:hAnsi="Garamond" w:cs="Garamond"/>
          <w:sz w:val="24"/>
          <w:szCs w:val="24"/>
        </w:rPr>
        <w:t>s e Ingenierías) muestran una mayor diversidad en su orientación. Este hecho se constituye en una ventaja para la institución dado que la existencia de áreas transversales brinda la oportunidad de avanzar en la configuración de nuevas formas de trabajo que</w:t>
      </w:r>
      <w:r>
        <w:rPr>
          <w:rFonts w:ascii="Garamond" w:eastAsia="Garamond" w:hAnsi="Garamond" w:cs="Garamond"/>
          <w:sz w:val="24"/>
          <w:szCs w:val="24"/>
        </w:rPr>
        <w:t xml:space="preserve"> faciliten e incentiven la interacción entre diferentes investigadores en torno a problemas comunes de investigación. </w:t>
      </w:r>
    </w:p>
    <w:p w14:paraId="33C8C631" w14:textId="77777777" w:rsidR="002B1F19" w:rsidRDefault="002B1F19">
      <w:pPr>
        <w:jc w:val="both"/>
        <w:rPr>
          <w:rFonts w:ascii="Garamond" w:eastAsia="Garamond" w:hAnsi="Garamond" w:cs="Garamond"/>
          <w:sz w:val="24"/>
          <w:szCs w:val="24"/>
        </w:rPr>
      </w:pPr>
    </w:p>
    <w:tbl>
      <w:tblPr>
        <w:tblStyle w:val="a1"/>
        <w:tblW w:w="903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77"/>
        <w:gridCol w:w="2145"/>
        <w:gridCol w:w="2715"/>
        <w:gridCol w:w="1395"/>
      </w:tblGrid>
      <w:tr w:rsidR="002B1F19" w14:paraId="28CEA176" w14:textId="77777777">
        <w:trPr>
          <w:trHeight w:val="540"/>
        </w:trPr>
        <w:tc>
          <w:tcPr>
            <w:tcW w:w="2777" w:type="dxa"/>
            <w:tcBorders>
              <w:top w:val="single" w:sz="6" w:space="0" w:color="000000"/>
              <w:left w:val="single" w:sz="6" w:space="0" w:color="000000"/>
              <w:bottom w:val="single" w:sz="12" w:space="0" w:color="000000"/>
              <w:right w:val="single" w:sz="6" w:space="0" w:color="000000"/>
            </w:tcBorders>
            <w:shd w:val="clear" w:color="auto" w:fill="F7CB4D"/>
            <w:tcMar>
              <w:top w:w="40" w:type="dxa"/>
              <w:left w:w="40" w:type="dxa"/>
              <w:bottom w:w="40" w:type="dxa"/>
              <w:right w:w="40" w:type="dxa"/>
            </w:tcMar>
            <w:vAlign w:val="bottom"/>
          </w:tcPr>
          <w:p w14:paraId="38681C92"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b/>
                <w:sz w:val="24"/>
                <w:szCs w:val="24"/>
              </w:rPr>
              <w:t>Facultad</w:t>
            </w:r>
          </w:p>
        </w:tc>
        <w:tc>
          <w:tcPr>
            <w:tcW w:w="2145" w:type="dxa"/>
            <w:tcBorders>
              <w:top w:val="single" w:sz="6" w:space="0" w:color="000000"/>
              <w:left w:val="single" w:sz="6" w:space="0" w:color="CCCCCC"/>
              <w:bottom w:val="single" w:sz="12" w:space="0" w:color="000000"/>
              <w:right w:val="single" w:sz="6" w:space="0" w:color="000000"/>
            </w:tcBorders>
            <w:shd w:val="clear" w:color="auto" w:fill="F7CB4D"/>
            <w:tcMar>
              <w:top w:w="40" w:type="dxa"/>
              <w:left w:w="40" w:type="dxa"/>
              <w:bottom w:w="40" w:type="dxa"/>
              <w:right w:w="40" w:type="dxa"/>
            </w:tcMar>
            <w:vAlign w:val="bottom"/>
          </w:tcPr>
          <w:p w14:paraId="0D1CCD8E"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b/>
                <w:sz w:val="24"/>
                <w:szCs w:val="24"/>
              </w:rPr>
              <w:t>Gran Área OCDE</w:t>
            </w:r>
          </w:p>
        </w:tc>
        <w:tc>
          <w:tcPr>
            <w:tcW w:w="2715" w:type="dxa"/>
            <w:tcBorders>
              <w:top w:val="single" w:sz="6" w:space="0" w:color="000000"/>
              <w:left w:val="single" w:sz="6" w:space="0" w:color="CCCCCC"/>
              <w:bottom w:val="single" w:sz="12" w:space="0" w:color="000000"/>
              <w:right w:val="single" w:sz="6" w:space="0" w:color="000000"/>
            </w:tcBorders>
            <w:shd w:val="clear" w:color="auto" w:fill="F7CB4D"/>
            <w:tcMar>
              <w:top w:w="40" w:type="dxa"/>
              <w:left w:w="40" w:type="dxa"/>
              <w:bottom w:w="40" w:type="dxa"/>
              <w:right w:w="40" w:type="dxa"/>
            </w:tcMar>
            <w:vAlign w:val="bottom"/>
          </w:tcPr>
          <w:p w14:paraId="25068320"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b/>
                <w:sz w:val="24"/>
                <w:szCs w:val="24"/>
              </w:rPr>
              <w:t>Número de grupos</w:t>
            </w:r>
          </w:p>
        </w:tc>
        <w:tc>
          <w:tcPr>
            <w:tcW w:w="1395" w:type="dxa"/>
            <w:tcBorders>
              <w:top w:val="single" w:sz="6" w:space="0" w:color="000000"/>
              <w:left w:val="single" w:sz="6" w:space="0" w:color="CCCCCC"/>
              <w:bottom w:val="single" w:sz="12" w:space="0" w:color="000000"/>
              <w:right w:val="single" w:sz="6" w:space="0" w:color="000000"/>
            </w:tcBorders>
            <w:shd w:val="clear" w:color="auto" w:fill="F7CB4D"/>
            <w:tcMar>
              <w:top w:w="40" w:type="dxa"/>
              <w:left w:w="40" w:type="dxa"/>
              <w:bottom w:w="40" w:type="dxa"/>
              <w:right w:w="40" w:type="dxa"/>
            </w:tcMar>
            <w:vAlign w:val="bottom"/>
          </w:tcPr>
          <w:p w14:paraId="05E1217E"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b/>
                <w:sz w:val="24"/>
                <w:szCs w:val="24"/>
              </w:rPr>
              <w:t>Total</w:t>
            </w:r>
          </w:p>
        </w:tc>
      </w:tr>
      <w:tr w:rsidR="002B1F19" w14:paraId="68976843" w14:textId="77777777">
        <w:trPr>
          <w:trHeight w:val="380"/>
        </w:trPr>
        <w:tc>
          <w:tcPr>
            <w:tcW w:w="2777" w:type="dxa"/>
            <w:vMerge w:val="restart"/>
            <w:tcBorders>
              <w:top w:val="single" w:sz="6" w:space="0" w:color="CCCCCC"/>
              <w:left w:val="single" w:sz="12" w:space="0" w:color="000000"/>
              <w:bottom w:val="single" w:sz="12" w:space="0" w:color="000000"/>
              <w:right w:val="single" w:sz="6" w:space="0" w:color="000000"/>
            </w:tcBorders>
            <w:shd w:val="clear" w:color="auto" w:fill="FFFFFF"/>
            <w:tcMar>
              <w:top w:w="40" w:type="dxa"/>
              <w:left w:w="40" w:type="dxa"/>
              <w:bottom w:w="40" w:type="dxa"/>
              <w:right w:w="40" w:type="dxa"/>
            </w:tcMar>
            <w:vAlign w:val="bottom"/>
          </w:tcPr>
          <w:p w14:paraId="1A14F8AC" w14:textId="77777777" w:rsidR="002B1F19" w:rsidRDefault="00F80E55">
            <w:pPr>
              <w:widowControl w:val="0"/>
              <w:rPr>
                <w:rFonts w:ascii="Garamond" w:eastAsia="Garamond" w:hAnsi="Garamond" w:cs="Garamond"/>
                <w:i/>
                <w:sz w:val="24"/>
                <w:szCs w:val="24"/>
              </w:rPr>
            </w:pPr>
            <w:r>
              <w:rPr>
                <w:rFonts w:ascii="Garamond" w:eastAsia="Garamond" w:hAnsi="Garamond" w:cs="Garamond"/>
                <w:i/>
                <w:sz w:val="24"/>
                <w:szCs w:val="24"/>
              </w:rPr>
              <w:t>Facultad de Artes y Humanidades</w:t>
            </w:r>
          </w:p>
        </w:tc>
        <w:tc>
          <w:tcPr>
            <w:tcW w:w="21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19498EE"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Ciencias Sociales</w:t>
            </w:r>
          </w:p>
        </w:tc>
        <w:tc>
          <w:tcPr>
            <w:tcW w:w="27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CBBB003"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5</w:t>
            </w:r>
          </w:p>
        </w:tc>
        <w:tc>
          <w:tcPr>
            <w:tcW w:w="1395" w:type="dxa"/>
            <w:vMerge w:val="restart"/>
            <w:tcBorders>
              <w:top w:val="single" w:sz="6" w:space="0" w:color="CCCCCC"/>
              <w:left w:val="single" w:sz="6" w:space="0" w:color="CCCCCC"/>
              <w:bottom w:val="single" w:sz="12" w:space="0" w:color="000000"/>
              <w:right w:val="single" w:sz="12" w:space="0" w:color="000000"/>
            </w:tcBorders>
            <w:shd w:val="clear" w:color="auto" w:fill="FFFFFF"/>
            <w:tcMar>
              <w:top w:w="40" w:type="dxa"/>
              <w:left w:w="40" w:type="dxa"/>
              <w:bottom w:w="40" w:type="dxa"/>
              <w:right w:w="40" w:type="dxa"/>
            </w:tcMar>
            <w:vAlign w:val="center"/>
          </w:tcPr>
          <w:p w14:paraId="375C3CDB"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17</w:t>
            </w:r>
          </w:p>
        </w:tc>
      </w:tr>
      <w:tr w:rsidR="002B1F19" w14:paraId="59E79B55" w14:textId="77777777">
        <w:trPr>
          <w:trHeight w:val="380"/>
        </w:trPr>
        <w:tc>
          <w:tcPr>
            <w:tcW w:w="2777" w:type="dxa"/>
            <w:vMerge/>
            <w:tcBorders>
              <w:bottom w:val="single" w:sz="12" w:space="0" w:color="000000"/>
              <w:right w:val="single" w:sz="6" w:space="0" w:color="000000"/>
            </w:tcBorders>
            <w:shd w:val="clear" w:color="auto" w:fill="auto"/>
            <w:tcMar>
              <w:top w:w="100" w:type="dxa"/>
              <w:left w:w="100" w:type="dxa"/>
              <w:bottom w:w="100" w:type="dxa"/>
              <w:right w:w="100" w:type="dxa"/>
            </w:tcMar>
          </w:tcPr>
          <w:p w14:paraId="1387AFDA" w14:textId="77777777" w:rsidR="002B1F19" w:rsidRDefault="002B1F19">
            <w:pPr>
              <w:widowControl w:val="0"/>
              <w:rPr>
                <w:sz w:val="20"/>
                <w:szCs w:val="20"/>
              </w:rPr>
            </w:pPr>
          </w:p>
        </w:tc>
        <w:tc>
          <w:tcPr>
            <w:tcW w:w="2145" w:type="dxa"/>
            <w:tcBorders>
              <w:top w:val="single" w:sz="6" w:space="0" w:color="CCCCCC"/>
              <w:left w:val="single" w:sz="6" w:space="0" w:color="CCCCCC"/>
              <w:bottom w:val="single" w:sz="6" w:space="0" w:color="000000"/>
              <w:right w:val="single" w:sz="6" w:space="0" w:color="000000"/>
            </w:tcBorders>
            <w:shd w:val="clear" w:color="auto" w:fill="FEF8E3"/>
            <w:tcMar>
              <w:top w:w="40" w:type="dxa"/>
              <w:left w:w="40" w:type="dxa"/>
              <w:bottom w:w="40" w:type="dxa"/>
              <w:right w:w="40" w:type="dxa"/>
            </w:tcMar>
            <w:vAlign w:val="bottom"/>
          </w:tcPr>
          <w:p w14:paraId="57720C0B"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Humanidades</w:t>
            </w:r>
          </w:p>
        </w:tc>
        <w:tc>
          <w:tcPr>
            <w:tcW w:w="2715" w:type="dxa"/>
            <w:tcBorders>
              <w:top w:val="single" w:sz="6" w:space="0" w:color="CCCCCC"/>
              <w:left w:val="single" w:sz="6" w:space="0" w:color="CCCCCC"/>
              <w:bottom w:val="single" w:sz="6" w:space="0" w:color="000000"/>
              <w:right w:val="single" w:sz="6" w:space="0" w:color="000000"/>
            </w:tcBorders>
            <w:shd w:val="clear" w:color="auto" w:fill="FEF8E3"/>
            <w:tcMar>
              <w:top w:w="40" w:type="dxa"/>
              <w:left w:w="40" w:type="dxa"/>
              <w:bottom w:w="40" w:type="dxa"/>
              <w:right w:w="40" w:type="dxa"/>
            </w:tcMar>
            <w:vAlign w:val="bottom"/>
          </w:tcPr>
          <w:p w14:paraId="4D44F7A2"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11</w:t>
            </w:r>
          </w:p>
        </w:tc>
        <w:tc>
          <w:tcPr>
            <w:tcW w:w="1395"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69DCE26F" w14:textId="77777777" w:rsidR="002B1F19" w:rsidRDefault="002B1F19">
            <w:pPr>
              <w:widowControl w:val="0"/>
              <w:rPr>
                <w:sz w:val="20"/>
                <w:szCs w:val="20"/>
              </w:rPr>
            </w:pPr>
          </w:p>
        </w:tc>
      </w:tr>
      <w:tr w:rsidR="002B1F19" w14:paraId="6927BA4D" w14:textId="77777777">
        <w:trPr>
          <w:trHeight w:val="400"/>
        </w:trPr>
        <w:tc>
          <w:tcPr>
            <w:tcW w:w="2777" w:type="dxa"/>
            <w:vMerge/>
            <w:tcBorders>
              <w:bottom w:val="single" w:sz="12" w:space="0" w:color="000000"/>
              <w:right w:val="single" w:sz="6" w:space="0" w:color="000000"/>
            </w:tcBorders>
            <w:shd w:val="clear" w:color="auto" w:fill="auto"/>
            <w:tcMar>
              <w:top w:w="100" w:type="dxa"/>
              <w:left w:w="100" w:type="dxa"/>
              <w:bottom w:w="100" w:type="dxa"/>
              <w:right w:w="100" w:type="dxa"/>
            </w:tcMar>
          </w:tcPr>
          <w:p w14:paraId="253EF202" w14:textId="77777777" w:rsidR="002B1F19" w:rsidRDefault="002B1F19">
            <w:pPr>
              <w:widowControl w:val="0"/>
              <w:rPr>
                <w:sz w:val="20"/>
                <w:szCs w:val="20"/>
              </w:rPr>
            </w:pPr>
          </w:p>
        </w:tc>
        <w:tc>
          <w:tcPr>
            <w:tcW w:w="2145" w:type="dxa"/>
            <w:tcBorders>
              <w:top w:val="single" w:sz="6" w:space="0" w:color="CCCCCC"/>
              <w:left w:val="single" w:sz="6" w:space="0" w:color="CCCCCC"/>
              <w:bottom w:val="single" w:sz="12" w:space="0" w:color="000000"/>
              <w:right w:val="single" w:sz="6" w:space="0" w:color="000000"/>
            </w:tcBorders>
            <w:shd w:val="clear" w:color="auto" w:fill="FFFFFF"/>
            <w:tcMar>
              <w:top w:w="40" w:type="dxa"/>
              <w:left w:w="40" w:type="dxa"/>
              <w:bottom w:w="40" w:type="dxa"/>
              <w:right w:w="40" w:type="dxa"/>
            </w:tcMar>
            <w:vAlign w:val="bottom"/>
          </w:tcPr>
          <w:p w14:paraId="7AD7004E"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Ingeniería y Tecnología</w:t>
            </w:r>
          </w:p>
        </w:tc>
        <w:tc>
          <w:tcPr>
            <w:tcW w:w="2715" w:type="dxa"/>
            <w:tcBorders>
              <w:top w:val="single" w:sz="6" w:space="0" w:color="CCCCCC"/>
              <w:left w:val="single" w:sz="6" w:space="0" w:color="CCCCCC"/>
              <w:bottom w:val="single" w:sz="12" w:space="0" w:color="000000"/>
              <w:right w:val="single" w:sz="6" w:space="0" w:color="000000"/>
            </w:tcBorders>
            <w:shd w:val="clear" w:color="auto" w:fill="FFFFFF"/>
            <w:tcMar>
              <w:top w:w="40" w:type="dxa"/>
              <w:left w:w="40" w:type="dxa"/>
              <w:bottom w:w="40" w:type="dxa"/>
              <w:right w:w="40" w:type="dxa"/>
            </w:tcMar>
            <w:vAlign w:val="bottom"/>
          </w:tcPr>
          <w:p w14:paraId="2533986A"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1</w:t>
            </w:r>
          </w:p>
        </w:tc>
        <w:tc>
          <w:tcPr>
            <w:tcW w:w="1395"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476AD986" w14:textId="77777777" w:rsidR="002B1F19" w:rsidRDefault="002B1F19">
            <w:pPr>
              <w:widowControl w:val="0"/>
              <w:rPr>
                <w:sz w:val="20"/>
                <w:szCs w:val="20"/>
              </w:rPr>
            </w:pPr>
          </w:p>
        </w:tc>
      </w:tr>
      <w:tr w:rsidR="002B1F19" w14:paraId="4B057DA4" w14:textId="77777777">
        <w:trPr>
          <w:trHeight w:val="380"/>
        </w:trPr>
        <w:tc>
          <w:tcPr>
            <w:tcW w:w="2777" w:type="dxa"/>
            <w:vMerge w:val="restart"/>
            <w:tcBorders>
              <w:top w:val="single" w:sz="6" w:space="0" w:color="CCCCCC"/>
              <w:left w:val="single" w:sz="12" w:space="0" w:color="000000"/>
              <w:bottom w:val="single" w:sz="12" w:space="0" w:color="000000"/>
              <w:right w:val="single" w:sz="6" w:space="0" w:color="000000"/>
            </w:tcBorders>
            <w:shd w:val="clear" w:color="auto" w:fill="FEF8E3"/>
            <w:tcMar>
              <w:top w:w="40" w:type="dxa"/>
              <w:left w:w="40" w:type="dxa"/>
              <w:bottom w:w="40" w:type="dxa"/>
              <w:right w:w="40" w:type="dxa"/>
            </w:tcMar>
            <w:vAlign w:val="bottom"/>
          </w:tcPr>
          <w:p w14:paraId="342306E5" w14:textId="77777777" w:rsidR="002B1F19" w:rsidRDefault="00F80E55">
            <w:pPr>
              <w:widowControl w:val="0"/>
              <w:rPr>
                <w:rFonts w:ascii="Garamond" w:eastAsia="Garamond" w:hAnsi="Garamond" w:cs="Garamond"/>
                <w:i/>
                <w:sz w:val="24"/>
                <w:szCs w:val="24"/>
              </w:rPr>
            </w:pPr>
            <w:r>
              <w:rPr>
                <w:rFonts w:ascii="Garamond" w:eastAsia="Garamond" w:hAnsi="Garamond" w:cs="Garamond"/>
                <w:i/>
                <w:sz w:val="24"/>
                <w:szCs w:val="24"/>
              </w:rPr>
              <w:t>Facultad de Ciencias Agropecuarias</w:t>
            </w:r>
          </w:p>
        </w:tc>
        <w:tc>
          <w:tcPr>
            <w:tcW w:w="2145" w:type="dxa"/>
            <w:tcBorders>
              <w:top w:val="single" w:sz="6" w:space="0" w:color="CCCCCC"/>
              <w:left w:val="single" w:sz="6" w:space="0" w:color="CCCCCC"/>
              <w:bottom w:val="single" w:sz="6" w:space="0" w:color="000000"/>
              <w:right w:val="single" w:sz="6" w:space="0" w:color="000000"/>
            </w:tcBorders>
            <w:shd w:val="clear" w:color="auto" w:fill="FEF8E3"/>
            <w:tcMar>
              <w:top w:w="40" w:type="dxa"/>
              <w:left w:w="40" w:type="dxa"/>
              <w:bottom w:w="40" w:type="dxa"/>
              <w:right w:w="40" w:type="dxa"/>
            </w:tcMar>
            <w:vAlign w:val="bottom"/>
          </w:tcPr>
          <w:p w14:paraId="3ECC60C0"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Ciencias Agrícolas</w:t>
            </w:r>
          </w:p>
        </w:tc>
        <w:tc>
          <w:tcPr>
            <w:tcW w:w="2715" w:type="dxa"/>
            <w:tcBorders>
              <w:top w:val="single" w:sz="6" w:space="0" w:color="CCCCCC"/>
              <w:left w:val="single" w:sz="6" w:space="0" w:color="CCCCCC"/>
              <w:bottom w:val="single" w:sz="6" w:space="0" w:color="000000"/>
              <w:right w:val="single" w:sz="6" w:space="0" w:color="000000"/>
            </w:tcBorders>
            <w:shd w:val="clear" w:color="auto" w:fill="FEF8E3"/>
            <w:tcMar>
              <w:top w:w="40" w:type="dxa"/>
              <w:left w:w="40" w:type="dxa"/>
              <w:bottom w:w="40" w:type="dxa"/>
              <w:right w:w="40" w:type="dxa"/>
            </w:tcMar>
            <w:vAlign w:val="bottom"/>
          </w:tcPr>
          <w:p w14:paraId="41A86C42"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7</w:t>
            </w:r>
          </w:p>
        </w:tc>
        <w:tc>
          <w:tcPr>
            <w:tcW w:w="1395" w:type="dxa"/>
            <w:vMerge w:val="restart"/>
            <w:tcBorders>
              <w:top w:val="single" w:sz="6" w:space="0" w:color="CCCCCC"/>
              <w:left w:val="single" w:sz="6" w:space="0" w:color="CCCCCC"/>
              <w:bottom w:val="single" w:sz="12" w:space="0" w:color="000000"/>
              <w:right w:val="single" w:sz="12" w:space="0" w:color="000000"/>
            </w:tcBorders>
            <w:shd w:val="clear" w:color="auto" w:fill="FEF8E3"/>
            <w:tcMar>
              <w:top w:w="40" w:type="dxa"/>
              <w:left w:w="40" w:type="dxa"/>
              <w:bottom w:w="40" w:type="dxa"/>
              <w:right w:w="40" w:type="dxa"/>
            </w:tcMar>
            <w:vAlign w:val="center"/>
          </w:tcPr>
          <w:p w14:paraId="754DF6E4"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12</w:t>
            </w:r>
          </w:p>
        </w:tc>
      </w:tr>
      <w:tr w:rsidR="002B1F19" w14:paraId="1776CF01" w14:textId="77777777">
        <w:trPr>
          <w:trHeight w:val="380"/>
        </w:trPr>
        <w:tc>
          <w:tcPr>
            <w:tcW w:w="2777" w:type="dxa"/>
            <w:vMerge/>
            <w:tcBorders>
              <w:bottom w:val="single" w:sz="12" w:space="0" w:color="000000"/>
              <w:right w:val="single" w:sz="6" w:space="0" w:color="000000"/>
            </w:tcBorders>
            <w:shd w:val="clear" w:color="auto" w:fill="auto"/>
            <w:tcMar>
              <w:top w:w="100" w:type="dxa"/>
              <w:left w:w="100" w:type="dxa"/>
              <w:bottom w:w="100" w:type="dxa"/>
              <w:right w:w="100" w:type="dxa"/>
            </w:tcMar>
          </w:tcPr>
          <w:p w14:paraId="2CB1DD50" w14:textId="77777777" w:rsidR="002B1F19" w:rsidRDefault="002B1F19">
            <w:pPr>
              <w:widowControl w:val="0"/>
              <w:rPr>
                <w:sz w:val="20"/>
                <w:szCs w:val="20"/>
              </w:rPr>
            </w:pPr>
          </w:p>
        </w:tc>
        <w:tc>
          <w:tcPr>
            <w:tcW w:w="21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E840CA5"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Ciencias Médicas y de la Salud</w:t>
            </w:r>
          </w:p>
        </w:tc>
        <w:tc>
          <w:tcPr>
            <w:tcW w:w="27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AE5F3D3"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2</w:t>
            </w:r>
          </w:p>
        </w:tc>
        <w:tc>
          <w:tcPr>
            <w:tcW w:w="1395"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12C7D659" w14:textId="77777777" w:rsidR="002B1F19" w:rsidRDefault="002B1F19">
            <w:pPr>
              <w:widowControl w:val="0"/>
              <w:rPr>
                <w:sz w:val="20"/>
                <w:szCs w:val="20"/>
              </w:rPr>
            </w:pPr>
          </w:p>
        </w:tc>
      </w:tr>
      <w:tr w:rsidR="002B1F19" w14:paraId="551A0AA9" w14:textId="77777777">
        <w:trPr>
          <w:trHeight w:val="380"/>
        </w:trPr>
        <w:tc>
          <w:tcPr>
            <w:tcW w:w="2777" w:type="dxa"/>
            <w:vMerge/>
            <w:tcBorders>
              <w:bottom w:val="single" w:sz="12" w:space="0" w:color="000000"/>
              <w:right w:val="single" w:sz="6" w:space="0" w:color="000000"/>
            </w:tcBorders>
            <w:shd w:val="clear" w:color="auto" w:fill="auto"/>
            <w:tcMar>
              <w:top w:w="100" w:type="dxa"/>
              <w:left w:w="100" w:type="dxa"/>
              <w:bottom w:w="100" w:type="dxa"/>
              <w:right w:w="100" w:type="dxa"/>
            </w:tcMar>
          </w:tcPr>
          <w:p w14:paraId="43F01575" w14:textId="77777777" w:rsidR="002B1F19" w:rsidRDefault="002B1F19">
            <w:pPr>
              <w:widowControl w:val="0"/>
              <w:rPr>
                <w:sz w:val="20"/>
                <w:szCs w:val="20"/>
              </w:rPr>
            </w:pPr>
          </w:p>
        </w:tc>
        <w:tc>
          <w:tcPr>
            <w:tcW w:w="2145" w:type="dxa"/>
            <w:tcBorders>
              <w:top w:val="single" w:sz="6" w:space="0" w:color="CCCCCC"/>
              <w:left w:val="single" w:sz="6" w:space="0" w:color="CCCCCC"/>
              <w:bottom w:val="single" w:sz="6" w:space="0" w:color="000000"/>
              <w:right w:val="single" w:sz="6" w:space="0" w:color="000000"/>
            </w:tcBorders>
            <w:shd w:val="clear" w:color="auto" w:fill="FEF8E3"/>
            <w:tcMar>
              <w:top w:w="40" w:type="dxa"/>
              <w:left w:w="40" w:type="dxa"/>
              <w:bottom w:w="40" w:type="dxa"/>
              <w:right w:w="40" w:type="dxa"/>
            </w:tcMar>
            <w:vAlign w:val="bottom"/>
          </w:tcPr>
          <w:p w14:paraId="6C73F6E7"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Ciencias Naturales</w:t>
            </w:r>
          </w:p>
        </w:tc>
        <w:tc>
          <w:tcPr>
            <w:tcW w:w="2715" w:type="dxa"/>
            <w:tcBorders>
              <w:top w:val="single" w:sz="6" w:space="0" w:color="CCCCCC"/>
              <w:left w:val="single" w:sz="6" w:space="0" w:color="CCCCCC"/>
              <w:bottom w:val="single" w:sz="6" w:space="0" w:color="000000"/>
              <w:right w:val="single" w:sz="6" w:space="0" w:color="000000"/>
            </w:tcBorders>
            <w:shd w:val="clear" w:color="auto" w:fill="FEF8E3"/>
            <w:tcMar>
              <w:top w:w="40" w:type="dxa"/>
              <w:left w:w="40" w:type="dxa"/>
              <w:bottom w:w="40" w:type="dxa"/>
              <w:right w:w="40" w:type="dxa"/>
            </w:tcMar>
            <w:vAlign w:val="bottom"/>
          </w:tcPr>
          <w:p w14:paraId="37D3EE1C"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2</w:t>
            </w:r>
          </w:p>
        </w:tc>
        <w:tc>
          <w:tcPr>
            <w:tcW w:w="1395"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58627B1E" w14:textId="77777777" w:rsidR="002B1F19" w:rsidRDefault="002B1F19">
            <w:pPr>
              <w:widowControl w:val="0"/>
              <w:rPr>
                <w:sz w:val="20"/>
                <w:szCs w:val="20"/>
              </w:rPr>
            </w:pPr>
          </w:p>
        </w:tc>
      </w:tr>
      <w:tr w:rsidR="002B1F19" w14:paraId="0B2E1C55" w14:textId="77777777">
        <w:trPr>
          <w:trHeight w:val="400"/>
        </w:trPr>
        <w:tc>
          <w:tcPr>
            <w:tcW w:w="2777" w:type="dxa"/>
            <w:vMerge/>
            <w:tcBorders>
              <w:bottom w:val="single" w:sz="12" w:space="0" w:color="000000"/>
              <w:right w:val="single" w:sz="6" w:space="0" w:color="000000"/>
            </w:tcBorders>
            <w:shd w:val="clear" w:color="auto" w:fill="auto"/>
            <w:tcMar>
              <w:top w:w="100" w:type="dxa"/>
              <w:left w:w="100" w:type="dxa"/>
              <w:bottom w:w="100" w:type="dxa"/>
              <w:right w:w="100" w:type="dxa"/>
            </w:tcMar>
          </w:tcPr>
          <w:p w14:paraId="6317CA49" w14:textId="77777777" w:rsidR="002B1F19" w:rsidRDefault="002B1F19">
            <w:pPr>
              <w:widowControl w:val="0"/>
              <w:rPr>
                <w:sz w:val="20"/>
                <w:szCs w:val="20"/>
              </w:rPr>
            </w:pPr>
          </w:p>
        </w:tc>
        <w:tc>
          <w:tcPr>
            <w:tcW w:w="2145" w:type="dxa"/>
            <w:tcBorders>
              <w:top w:val="single" w:sz="6" w:space="0" w:color="CCCCCC"/>
              <w:left w:val="single" w:sz="6" w:space="0" w:color="CCCCCC"/>
              <w:bottom w:val="single" w:sz="12" w:space="0" w:color="000000"/>
              <w:right w:val="single" w:sz="6" w:space="0" w:color="000000"/>
            </w:tcBorders>
            <w:shd w:val="clear" w:color="auto" w:fill="FFFFFF"/>
            <w:tcMar>
              <w:top w:w="40" w:type="dxa"/>
              <w:left w:w="40" w:type="dxa"/>
              <w:bottom w:w="40" w:type="dxa"/>
              <w:right w:w="40" w:type="dxa"/>
            </w:tcMar>
            <w:vAlign w:val="bottom"/>
          </w:tcPr>
          <w:p w14:paraId="22B84B02"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Ciencias Sociales</w:t>
            </w:r>
          </w:p>
        </w:tc>
        <w:tc>
          <w:tcPr>
            <w:tcW w:w="2715" w:type="dxa"/>
            <w:tcBorders>
              <w:top w:val="single" w:sz="6" w:space="0" w:color="CCCCCC"/>
              <w:left w:val="single" w:sz="6" w:space="0" w:color="CCCCCC"/>
              <w:bottom w:val="single" w:sz="12" w:space="0" w:color="000000"/>
              <w:right w:val="single" w:sz="6" w:space="0" w:color="000000"/>
            </w:tcBorders>
            <w:shd w:val="clear" w:color="auto" w:fill="FFFFFF"/>
            <w:tcMar>
              <w:top w:w="40" w:type="dxa"/>
              <w:left w:w="40" w:type="dxa"/>
              <w:bottom w:w="40" w:type="dxa"/>
              <w:right w:w="40" w:type="dxa"/>
            </w:tcMar>
            <w:vAlign w:val="bottom"/>
          </w:tcPr>
          <w:p w14:paraId="13224234"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1</w:t>
            </w:r>
          </w:p>
        </w:tc>
        <w:tc>
          <w:tcPr>
            <w:tcW w:w="1395"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24527A64" w14:textId="77777777" w:rsidR="002B1F19" w:rsidRDefault="002B1F19">
            <w:pPr>
              <w:widowControl w:val="0"/>
              <w:rPr>
                <w:sz w:val="20"/>
                <w:szCs w:val="20"/>
              </w:rPr>
            </w:pPr>
          </w:p>
        </w:tc>
      </w:tr>
      <w:tr w:rsidR="002B1F19" w14:paraId="2928C5C4" w14:textId="77777777">
        <w:trPr>
          <w:trHeight w:val="380"/>
        </w:trPr>
        <w:tc>
          <w:tcPr>
            <w:tcW w:w="2777" w:type="dxa"/>
            <w:vMerge w:val="restart"/>
            <w:tcBorders>
              <w:top w:val="single" w:sz="6" w:space="0" w:color="CCCCCC"/>
              <w:left w:val="single" w:sz="12" w:space="0" w:color="000000"/>
              <w:bottom w:val="single" w:sz="12" w:space="0" w:color="000000"/>
              <w:right w:val="single" w:sz="6" w:space="0" w:color="000000"/>
            </w:tcBorders>
            <w:shd w:val="clear" w:color="auto" w:fill="FEF8E3"/>
            <w:tcMar>
              <w:top w:w="40" w:type="dxa"/>
              <w:left w:w="40" w:type="dxa"/>
              <w:bottom w:w="40" w:type="dxa"/>
              <w:right w:w="40" w:type="dxa"/>
            </w:tcMar>
            <w:vAlign w:val="bottom"/>
          </w:tcPr>
          <w:p w14:paraId="03019FBB" w14:textId="77777777" w:rsidR="002B1F19" w:rsidRDefault="00F80E55">
            <w:pPr>
              <w:widowControl w:val="0"/>
              <w:rPr>
                <w:rFonts w:ascii="Garamond" w:eastAsia="Garamond" w:hAnsi="Garamond" w:cs="Garamond"/>
                <w:i/>
                <w:sz w:val="24"/>
                <w:szCs w:val="24"/>
              </w:rPr>
            </w:pPr>
            <w:r>
              <w:rPr>
                <w:rFonts w:ascii="Garamond" w:eastAsia="Garamond" w:hAnsi="Garamond" w:cs="Garamond"/>
                <w:i/>
                <w:sz w:val="24"/>
                <w:szCs w:val="24"/>
              </w:rPr>
              <w:t>Facultad de Ciencias Exactas y Naturales</w:t>
            </w:r>
          </w:p>
        </w:tc>
        <w:tc>
          <w:tcPr>
            <w:tcW w:w="2145" w:type="dxa"/>
            <w:tcBorders>
              <w:top w:val="single" w:sz="6" w:space="0" w:color="CCCCCC"/>
              <w:left w:val="single" w:sz="6" w:space="0" w:color="CCCCCC"/>
              <w:bottom w:val="single" w:sz="6" w:space="0" w:color="000000"/>
              <w:right w:val="single" w:sz="6" w:space="0" w:color="000000"/>
            </w:tcBorders>
            <w:shd w:val="clear" w:color="auto" w:fill="FEF8E3"/>
            <w:tcMar>
              <w:top w:w="40" w:type="dxa"/>
              <w:left w:w="40" w:type="dxa"/>
              <w:bottom w:w="40" w:type="dxa"/>
              <w:right w:w="40" w:type="dxa"/>
            </w:tcMar>
            <w:vAlign w:val="bottom"/>
          </w:tcPr>
          <w:p w14:paraId="70597AE8"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Ciencias Naturales</w:t>
            </w:r>
          </w:p>
        </w:tc>
        <w:tc>
          <w:tcPr>
            <w:tcW w:w="2715" w:type="dxa"/>
            <w:tcBorders>
              <w:top w:val="single" w:sz="6" w:space="0" w:color="CCCCCC"/>
              <w:left w:val="single" w:sz="6" w:space="0" w:color="CCCCCC"/>
              <w:bottom w:val="single" w:sz="6" w:space="0" w:color="000000"/>
              <w:right w:val="single" w:sz="6" w:space="0" w:color="000000"/>
            </w:tcBorders>
            <w:shd w:val="clear" w:color="auto" w:fill="FEF8E3"/>
            <w:tcMar>
              <w:top w:w="40" w:type="dxa"/>
              <w:left w:w="40" w:type="dxa"/>
              <w:bottom w:w="40" w:type="dxa"/>
              <w:right w:w="40" w:type="dxa"/>
            </w:tcMar>
            <w:vAlign w:val="bottom"/>
          </w:tcPr>
          <w:p w14:paraId="33CD1C68"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12</w:t>
            </w:r>
          </w:p>
        </w:tc>
        <w:tc>
          <w:tcPr>
            <w:tcW w:w="1395" w:type="dxa"/>
            <w:vMerge w:val="restart"/>
            <w:tcBorders>
              <w:top w:val="single" w:sz="6" w:space="0" w:color="CCCCCC"/>
              <w:left w:val="single" w:sz="6" w:space="0" w:color="CCCCCC"/>
              <w:bottom w:val="single" w:sz="12" w:space="0" w:color="000000"/>
              <w:right w:val="single" w:sz="12" w:space="0" w:color="000000"/>
            </w:tcBorders>
            <w:shd w:val="clear" w:color="auto" w:fill="FEF8E3"/>
            <w:tcMar>
              <w:top w:w="40" w:type="dxa"/>
              <w:left w:w="40" w:type="dxa"/>
              <w:bottom w:w="40" w:type="dxa"/>
              <w:right w:w="40" w:type="dxa"/>
            </w:tcMar>
            <w:vAlign w:val="center"/>
          </w:tcPr>
          <w:p w14:paraId="5EC79194"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15</w:t>
            </w:r>
          </w:p>
        </w:tc>
      </w:tr>
      <w:tr w:rsidR="002B1F19" w14:paraId="3C80D614" w14:textId="77777777">
        <w:trPr>
          <w:trHeight w:val="380"/>
        </w:trPr>
        <w:tc>
          <w:tcPr>
            <w:tcW w:w="2777" w:type="dxa"/>
            <w:vMerge/>
            <w:tcBorders>
              <w:bottom w:val="single" w:sz="12" w:space="0" w:color="000000"/>
              <w:right w:val="single" w:sz="6" w:space="0" w:color="000000"/>
            </w:tcBorders>
            <w:shd w:val="clear" w:color="auto" w:fill="auto"/>
            <w:tcMar>
              <w:top w:w="100" w:type="dxa"/>
              <w:left w:w="100" w:type="dxa"/>
              <w:bottom w:w="100" w:type="dxa"/>
              <w:right w:w="100" w:type="dxa"/>
            </w:tcMar>
          </w:tcPr>
          <w:p w14:paraId="1C37B25E" w14:textId="77777777" w:rsidR="002B1F19" w:rsidRDefault="002B1F19">
            <w:pPr>
              <w:widowControl w:val="0"/>
              <w:rPr>
                <w:sz w:val="20"/>
                <w:szCs w:val="20"/>
              </w:rPr>
            </w:pPr>
          </w:p>
        </w:tc>
        <w:tc>
          <w:tcPr>
            <w:tcW w:w="21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FC2828A"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Ciencias Sociales</w:t>
            </w:r>
          </w:p>
        </w:tc>
        <w:tc>
          <w:tcPr>
            <w:tcW w:w="27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4169911"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1</w:t>
            </w:r>
          </w:p>
        </w:tc>
        <w:tc>
          <w:tcPr>
            <w:tcW w:w="1395"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71FAC5BD" w14:textId="77777777" w:rsidR="002B1F19" w:rsidRDefault="002B1F19">
            <w:pPr>
              <w:widowControl w:val="0"/>
              <w:rPr>
                <w:sz w:val="20"/>
                <w:szCs w:val="20"/>
              </w:rPr>
            </w:pPr>
          </w:p>
        </w:tc>
      </w:tr>
      <w:tr w:rsidR="002B1F19" w14:paraId="025BF531" w14:textId="77777777">
        <w:trPr>
          <w:trHeight w:val="400"/>
        </w:trPr>
        <w:tc>
          <w:tcPr>
            <w:tcW w:w="2777" w:type="dxa"/>
            <w:vMerge/>
            <w:tcBorders>
              <w:bottom w:val="single" w:sz="12" w:space="0" w:color="000000"/>
              <w:right w:val="single" w:sz="6" w:space="0" w:color="000000"/>
            </w:tcBorders>
            <w:shd w:val="clear" w:color="auto" w:fill="auto"/>
            <w:tcMar>
              <w:top w:w="100" w:type="dxa"/>
              <w:left w:w="100" w:type="dxa"/>
              <w:bottom w:w="100" w:type="dxa"/>
              <w:right w:w="100" w:type="dxa"/>
            </w:tcMar>
          </w:tcPr>
          <w:p w14:paraId="35A17ED4" w14:textId="77777777" w:rsidR="002B1F19" w:rsidRDefault="002B1F19">
            <w:pPr>
              <w:widowControl w:val="0"/>
              <w:rPr>
                <w:sz w:val="20"/>
                <w:szCs w:val="20"/>
              </w:rPr>
            </w:pPr>
          </w:p>
        </w:tc>
        <w:tc>
          <w:tcPr>
            <w:tcW w:w="2145" w:type="dxa"/>
            <w:tcBorders>
              <w:top w:val="single" w:sz="6" w:space="0" w:color="CCCCCC"/>
              <w:left w:val="single" w:sz="6" w:space="0" w:color="CCCCCC"/>
              <w:bottom w:val="single" w:sz="12" w:space="0" w:color="000000"/>
              <w:right w:val="single" w:sz="6" w:space="0" w:color="000000"/>
            </w:tcBorders>
            <w:shd w:val="clear" w:color="auto" w:fill="FEF8E3"/>
            <w:tcMar>
              <w:top w:w="40" w:type="dxa"/>
              <w:left w:w="40" w:type="dxa"/>
              <w:bottom w:w="40" w:type="dxa"/>
              <w:right w:w="40" w:type="dxa"/>
            </w:tcMar>
            <w:vAlign w:val="bottom"/>
          </w:tcPr>
          <w:p w14:paraId="0F8B6263"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Ingeniería y Tecnología</w:t>
            </w:r>
          </w:p>
        </w:tc>
        <w:tc>
          <w:tcPr>
            <w:tcW w:w="2715" w:type="dxa"/>
            <w:tcBorders>
              <w:top w:val="single" w:sz="6" w:space="0" w:color="CCCCCC"/>
              <w:left w:val="single" w:sz="6" w:space="0" w:color="CCCCCC"/>
              <w:bottom w:val="single" w:sz="12" w:space="0" w:color="000000"/>
              <w:right w:val="single" w:sz="6" w:space="0" w:color="000000"/>
            </w:tcBorders>
            <w:shd w:val="clear" w:color="auto" w:fill="FEF8E3"/>
            <w:tcMar>
              <w:top w:w="40" w:type="dxa"/>
              <w:left w:w="40" w:type="dxa"/>
              <w:bottom w:w="40" w:type="dxa"/>
              <w:right w:w="40" w:type="dxa"/>
            </w:tcMar>
            <w:vAlign w:val="bottom"/>
          </w:tcPr>
          <w:p w14:paraId="714A1B7F"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2</w:t>
            </w:r>
          </w:p>
        </w:tc>
        <w:tc>
          <w:tcPr>
            <w:tcW w:w="1395"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430DC56E" w14:textId="77777777" w:rsidR="002B1F19" w:rsidRDefault="002B1F19">
            <w:pPr>
              <w:widowControl w:val="0"/>
              <w:rPr>
                <w:sz w:val="20"/>
                <w:szCs w:val="20"/>
              </w:rPr>
            </w:pPr>
          </w:p>
        </w:tc>
      </w:tr>
      <w:tr w:rsidR="002B1F19" w14:paraId="016B3736" w14:textId="77777777">
        <w:trPr>
          <w:trHeight w:val="400"/>
        </w:trPr>
        <w:tc>
          <w:tcPr>
            <w:tcW w:w="2777" w:type="dxa"/>
            <w:tcBorders>
              <w:top w:val="single" w:sz="6" w:space="0" w:color="CCCCCC"/>
              <w:left w:val="single" w:sz="12" w:space="0" w:color="000000"/>
              <w:bottom w:val="single" w:sz="12" w:space="0" w:color="000000"/>
              <w:right w:val="single" w:sz="6" w:space="0" w:color="000000"/>
            </w:tcBorders>
            <w:shd w:val="clear" w:color="auto" w:fill="FFFFFF"/>
            <w:tcMar>
              <w:top w:w="40" w:type="dxa"/>
              <w:left w:w="40" w:type="dxa"/>
              <w:bottom w:w="40" w:type="dxa"/>
              <w:right w:w="40" w:type="dxa"/>
            </w:tcMar>
            <w:vAlign w:val="bottom"/>
          </w:tcPr>
          <w:p w14:paraId="1CD9FF51" w14:textId="77777777" w:rsidR="002B1F19" w:rsidRDefault="00F80E55">
            <w:pPr>
              <w:widowControl w:val="0"/>
              <w:rPr>
                <w:rFonts w:ascii="Garamond" w:eastAsia="Garamond" w:hAnsi="Garamond" w:cs="Garamond"/>
                <w:sz w:val="24"/>
                <w:szCs w:val="24"/>
              </w:rPr>
            </w:pPr>
            <w:r>
              <w:rPr>
                <w:rFonts w:ascii="Garamond" w:eastAsia="Garamond" w:hAnsi="Garamond" w:cs="Garamond"/>
                <w:i/>
                <w:sz w:val="24"/>
                <w:szCs w:val="24"/>
              </w:rPr>
              <w:t>Facultad de Ciencias Jurídicas y Sociales</w:t>
            </w:r>
          </w:p>
        </w:tc>
        <w:tc>
          <w:tcPr>
            <w:tcW w:w="2145" w:type="dxa"/>
            <w:tcBorders>
              <w:top w:val="single" w:sz="6" w:space="0" w:color="CCCCCC"/>
              <w:left w:val="single" w:sz="6" w:space="0" w:color="CCCCCC"/>
              <w:bottom w:val="single" w:sz="12" w:space="0" w:color="000000"/>
              <w:right w:val="single" w:sz="6" w:space="0" w:color="000000"/>
            </w:tcBorders>
            <w:shd w:val="clear" w:color="auto" w:fill="FFFFFF"/>
            <w:tcMar>
              <w:top w:w="40" w:type="dxa"/>
              <w:left w:w="40" w:type="dxa"/>
              <w:bottom w:w="40" w:type="dxa"/>
              <w:right w:w="40" w:type="dxa"/>
            </w:tcMar>
            <w:vAlign w:val="bottom"/>
          </w:tcPr>
          <w:p w14:paraId="722487D6"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Ciencias Sociales</w:t>
            </w:r>
          </w:p>
        </w:tc>
        <w:tc>
          <w:tcPr>
            <w:tcW w:w="2715" w:type="dxa"/>
            <w:tcBorders>
              <w:top w:val="single" w:sz="6" w:space="0" w:color="CCCCCC"/>
              <w:left w:val="single" w:sz="6" w:space="0" w:color="CCCCCC"/>
              <w:bottom w:val="single" w:sz="12" w:space="0" w:color="000000"/>
              <w:right w:val="single" w:sz="6" w:space="0" w:color="000000"/>
            </w:tcBorders>
            <w:shd w:val="clear" w:color="auto" w:fill="FFFFFF"/>
            <w:tcMar>
              <w:top w:w="40" w:type="dxa"/>
              <w:left w:w="40" w:type="dxa"/>
              <w:bottom w:w="40" w:type="dxa"/>
              <w:right w:w="40" w:type="dxa"/>
            </w:tcMar>
            <w:vAlign w:val="bottom"/>
          </w:tcPr>
          <w:p w14:paraId="7E7C2389"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12</w:t>
            </w:r>
          </w:p>
        </w:tc>
        <w:tc>
          <w:tcPr>
            <w:tcW w:w="1395" w:type="dxa"/>
            <w:tcBorders>
              <w:top w:val="single" w:sz="6" w:space="0" w:color="CCCCCC"/>
              <w:left w:val="single" w:sz="6" w:space="0" w:color="CCCCCC"/>
              <w:bottom w:val="single" w:sz="12" w:space="0" w:color="000000"/>
              <w:right w:val="single" w:sz="12" w:space="0" w:color="000000"/>
            </w:tcBorders>
            <w:shd w:val="clear" w:color="auto" w:fill="FFFFFF"/>
            <w:tcMar>
              <w:top w:w="40" w:type="dxa"/>
              <w:left w:w="40" w:type="dxa"/>
              <w:bottom w:w="40" w:type="dxa"/>
              <w:right w:w="40" w:type="dxa"/>
            </w:tcMar>
            <w:vAlign w:val="bottom"/>
          </w:tcPr>
          <w:p w14:paraId="7B6C3647"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12</w:t>
            </w:r>
          </w:p>
        </w:tc>
      </w:tr>
      <w:tr w:rsidR="002B1F19" w14:paraId="78C67512" w14:textId="77777777">
        <w:trPr>
          <w:trHeight w:val="400"/>
        </w:trPr>
        <w:tc>
          <w:tcPr>
            <w:tcW w:w="2777" w:type="dxa"/>
            <w:tcBorders>
              <w:top w:val="single" w:sz="6" w:space="0" w:color="CCCCCC"/>
              <w:left w:val="single" w:sz="12" w:space="0" w:color="000000"/>
              <w:bottom w:val="single" w:sz="12" w:space="0" w:color="000000"/>
              <w:right w:val="single" w:sz="6" w:space="0" w:color="000000"/>
            </w:tcBorders>
            <w:shd w:val="clear" w:color="auto" w:fill="FEF8E3"/>
            <w:tcMar>
              <w:top w:w="40" w:type="dxa"/>
              <w:left w:w="40" w:type="dxa"/>
              <w:bottom w:w="40" w:type="dxa"/>
              <w:right w:w="40" w:type="dxa"/>
            </w:tcMar>
            <w:vAlign w:val="bottom"/>
          </w:tcPr>
          <w:p w14:paraId="0931B803" w14:textId="77777777" w:rsidR="002B1F19" w:rsidRDefault="00F80E55">
            <w:pPr>
              <w:widowControl w:val="0"/>
              <w:rPr>
                <w:rFonts w:ascii="Garamond" w:eastAsia="Garamond" w:hAnsi="Garamond" w:cs="Garamond"/>
                <w:sz w:val="24"/>
                <w:szCs w:val="24"/>
              </w:rPr>
            </w:pPr>
            <w:r>
              <w:rPr>
                <w:rFonts w:ascii="Garamond" w:eastAsia="Garamond" w:hAnsi="Garamond" w:cs="Garamond"/>
                <w:i/>
                <w:sz w:val="24"/>
                <w:szCs w:val="24"/>
              </w:rPr>
              <w:t>Facultad de Ciencias para la Salud</w:t>
            </w:r>
          </w:p>
        </w:tc>
        <w:tc>
          <w:tcPr>
            <w:tcW w:w="2145" w:type="dxa"/>
            <w:tcBorders>
              <w:top w:val="single" w:sz="6" w:space="0" w:color="CCCCCC"/>
              <w:left w:val="single" w:sz="6" w:space="0" w:color="CCCCCC"/>
              <w:bottom w:val="single" w:sz="12" w:space="0" w:color="000000"/>
              <w:right w:val="single" w:sz="6" w:space="0" w:color="000000"/>
            </w:tcBorders>
            <w:shd w:val="clear" w:color="auto" w:fill="FEF8E3"/>
            <w:tcMar>
              <w:top w:w="40" w:type="dxa"/>
              <w:left w:w="40" w:type="dxa"/>
              <w:bottom w:w="40" w:type="dxa"/>
              <w:right w:w="40" w:type="dxa"/>
            </w:tcMar>
            <w:vAlign w:val="bottom"/>
          </w:tcPr>
          <w:p w14:paraId="536CF0B4"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Ciencias Médicas y de la Salud</w:t>
            </w:r>
          </w:p>
        </w:tc>
        <w:tc>
          <w:tcPr>
            <w:tcW w:w="2715" w:type="dxa"/>
            <w:tcBorders>
              <w:top w:val="single" w:sz="6" w:space="0" w:color="CCCCCC"/>
              <w:left w:val="single" w:sz="6" w:space="0" w:color="CCCCCC"/>
              <w:bottom w:val="single" w:sz="12" w:space="0" w:color="000000"/>
              <w:right w:val="single" w:sz="6" w:space="0" w:color="000000"/>
            </w:tcBorders>
            <w:shd w:val="clear" w:color="auto" w:fill="FEF8E3"/>
            <w:tcMar>
              <w:top w:w="40" w:type="dxa"/>
              <w:left w:w="40" w:type="dxa"/>
              <w:bottom w:w="40" w:type="dxa"/>
              <w:right w:w="40" w:type="dxa"/>
            </w:tcMar>
            <w:vAlign w:val="bottom"/>
          </w:tcPr>
          <w:p w14:paraId="155B15C7"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11</w:t>
            </w:r>
          </w:p>
        </w:tc>
        <w:tc>
          <w:tcPr>
            <w:tcW w:w="1395" w:type="dxa"/>
            <w:tcBorders>
              <w:top w:val="single" w:sz="6" w:space="0" w:color="CCCCCC"/>
              <w:left w:val="single" w:sz="6" w:space="0" w:color="CCCCCC"/>
              <w:bottom w:val="single" w:sz="12" w:space="0" w:color="000000"/>
              <w:right w:val="single" w:sz="12" w:space="0" w:color="000000"/>
            </w:tcBorders>
            <w:shd w:val="clear" w:color="auto" w:fill="FEF8E3"/>
            <w:tcMar>
              <w:top w:w="40" w:type="dxa"/>
              <w:left w:w="40" w:type="dxa"/>
              <w:bottom w:w="40" w:type="dxa"/>
              <w:right w:w="40" w:type="dxa"/>
            </w:tcMar>
            <w:vAlign w:val="bottom"/>
          </w:tcPr>
          <w:p w14:paraId="625F3022"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11</w:t>
            </w:r>
          </w:p>
        </w:tc>
      </w:tr>
      <w:tr w:rsidR="002B1F19" w14:paraId="44F7BF16" w14:textId="77777777">
        <w:trPr>
          <w:trHeight w:val="380"/>
        </w:trPr>
        <w:tc>
          <w:tcPr>
            <w:tcW w:w="2777" w:type="dxa"/>
            <w:vMerge w:val="restart"/>
            <w:tcBorders>
              <w:top w:val="single" w:sz="6" w:space="0" w:color="CCCCCC"/>
              <w:left w:val="single" w:sz="12" w:space="0" w:color="000000"/>
              <w:bottom w:val="single" w:sz="12" w:space="0" w:color="000000"/>
              <w:right w:val="single" w:sz="6" w:space="0" w:color="000000"/>
            </w:tcBorders>
            <w:shd w:val="clear" w:color="auto" w:fill="FFFFFF"/>
            <w:tcMar>
              <w:top w:w="40" w:type="dxa"/>
              <w:left w:w="40" w:type="dxa"/>
              <w:bottom w:w="40" w:type="dxa"/>
              <w:right w:w="40" w:type="dxa"/>
            </w:tcMar>
            <w:vAlign w:val="bottom"/>
          </w:tcPr>
          <w:p w14:paraId="708622E1" w14:textId="77777777" w:rsidR="002B1F19" w:rsidRDefault="00F80E55">
            <w:pPr>
              <w:widowControl w:val="0"/>
              <w:rPr>
                <w:rFonts w:ascii="Garamond" w:eastAsia="Garamond" w:hAnsi="Garamond" w:cs="Garamond"/>
                <w:i/>
                <w:sz w:val="24"/>
                <w:szCs w:val="24"/>
              </w:rPr>
            </w:pPr>
            <w:r>
              <w:rPr>
                <w:rFonts w:ascii="Garamond" w:eastAsia="Garamond" w:hAnsi="Garamond" w:cs="Garamond"/>
                <w:i/>
                <w:sz w:val="24"/>
                <w:szCs w:val="24"/>
              </w:rPr>
              <w:t>Facultad de Ingenierías</w:t>
            </w:r>
          </w:p>
        </w:tc>
        <w:tc>
          <w:tcPr>
            <w:tcW w:w="21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4F50EF1"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Ciencias Agrícolas</w:t>
            </w:r>
          </w:p>
        </w:tc>
        <w:tc>
          <w:tcPr>
            <w:tcW w:w="27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84B2179"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1</w:t>
            </w:r>
          </w:p>
        </w:tc>
        <w:tc>
          <w:tcPr>
            <w:tcW w:w="1395" w:type="dxa"/>
            <w:vMerge w:val="restart"/>
            <w:tcBorders>
              <w:top w:val="single" w:sz="6" w:space="0" w:color="CCCCCC"/>
              <w:left w:val="single" w:sz="6" w:space="0" w:color="CCCCCC"/>
              <w:bottom w:val="single" w:sz="12" w:space="0" w:color="000000"/>
              <w:right w:val="single" w:sz="12" w:space="0" w:color="000000"/>
            </w:tcBorders>
            <w:shd w:val="clear" w:color="auto" w:fill="FFFFFF"/>
            <w:tcMar>
              <w:top w:w="40" w:type="dxa"/>
              <w:left w:w="40" w:type="dxa"/>
              <w:bottom w:w="40" w:type="dxa"/>
              <w:right w:w="40" w:type="dxa"/>
            </w:tcMar>
            <w:vAlign w:val="center"/>
          </w:tcPr>
          <w:p w14:paraId="654FE457"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5</w:t>
            </w:r>
          </w:p>
        </w:tc>
      </w:tr>
      <w:tr w:rsidR="002B1F19" w14:paraId="09E993E5" w14:textId="77777777">
        <w:trPr>
          <w:trHeight w:val="380"/>
        </w:trPr>
        <w:tc>
          <w:tcPr>
            <w:tcW w:w="2777" w:type="dxa"/>
            <w:vMerge/>
            <w:tcBorders>
              <w:bottom w:val="single" w:sz="12" w:space="0" w:color="000000"/>
              <w:right w:val="single" w:sz="6" w:space="0" w:color="000000"/>
            </w:tcBorders>
            <w:shd w:val="clear" w:color="auto" w:fill="auto"/>
            <w:tcMar>
              <w:top w:w="100" w:type="dxa"/>
              <w:left w:w="100" w:type="dxa"/>
              <w:bottom w:w="100" w:type="dxa"/>
              <w:right w:w="100" w:type="dxa"/>
            </w:tcMar>
          </w:tcPr>
          <w:p w14:paraId="6F6A94E4" w14:textId="77777777" w:rsidR="002B1F19" w:rsidRDefault="002B1F19">
            <w:pPr>
              <w:widowControl w:val="0"/>
              <w:rPr>
                <w:sz w:val="20"/>
                <w:szCs w:val="20"/>
              </w:rPr>
            </w:pPr>
          </w:p>
        </w:tc>
        <w:tc>
          <w:tcPr>
            <w:tcW w:w="2145" w:type="dxa"/>
            <w:tcBorders>
              <w:top w:val="single" w:sz="6" w:space="0" w:color="CCCCCC"/>
              <w:left w:val="single" w:sz="6" w:space="0" w:color="CCCCCC"/>
              <w:bottom w:val="single" w:sz="6" w:space="0" w:color="000000"/>
              <w:right w:val="single" w:sz="6" w:space="0" w:color="000000"/>
            </w:tcBorders>
            <w:shd w:val="clear" w:color="auto" w:fill="FEF8E3"/>
            <w:tcMar>
              <w:top w:w="40" w:type="dxa"/>
              <w:left w:w="40" w:type="dxa"/>
              <w:bottom w:w="40" w:type="dxa"/>
              <w:right w:w="40" w:type="dxa"/>
            </w:tcMar>
            <w:vAlign w:val="bottom"/>
          </w:tcPr>
          <w:p w14:paraId="66DEF03A"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Ciencias Médicas y de la Salud</w:t>
            </w:r>
          </w:p>
        </w:tc>
        <w:tc>
          <w:tcPr>
            <w:tcW w:w="2715" w:type="dxa"/>
            <w:tcBorders>
              <w:top w:val="single" w:sz="6" w:space="0" w:color="CCCCCC"/>
              <w:left w:val="single" w:sz="6" w:space="0" w:color="CCCCCC"/>
              <w:bottom w:val="single" w:sz="6" w:space="0" w:color="000000"/>
              <w:right w:val="single" w:sz="6" w:space="0" w:color="000000"/>
            </w:tcBorders>
            <w:shd w:val="clear" w:color="auto" w:fill="FEF8E3"/>
            <w:tcMar>
              <w:top w:w="40" w:type="dxa"/>
              <w:left w:w="40" w:type="dxa"/>
              <w:bottom w:w="40" w:type="dxa"/>
              <w:right w:w="40" w:type="dxa"/>
            </w:tcMar>
            <w:vAlign w:val="bottom"/>
          </w:tcPr>
          <w:p w14:paraId="11B2D596"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1</w:t>
            </w:r>
          </w:p>
        </w:tc>
        <w:tc>
          <w:tcPr>
            <w:tcW w:w="1395"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14B8A048" w14:textId="77777777" w:rsidR="002B1F19" w:rsidRDefault="002B1F19">
            <w:pPr>
              <w:widowControl w:val="0"/>
              <w:rPr>
                <w:sz w:val="20"/>
                <w:szCs w:val="20"/>
              </w:rPr>
            </w:pPr>
          </w:p>
        </w:tc>
      </w:tr>
      <w:tr w:rsidR="002B1F19" w14:paraId="1C93E225" w14:textId="77777777">
        <w:trPr>
          <w:trHeight w:val="380"/>
        </w:trPr>
        <w:tc>
          <w:tcPr>
            <w:tcW w:w="2777" w:type="dxa"/>
            <w:vMerge/>
            <w:tcBorders>
              <w:bottom w:val="single" w:sz="12" w:space="0" w:color="000000"/>
              <w:right w:val="single" w:sz="6" w:space="0" w:color="000000"/>
            </w:tcBorders>
            <w:shd w:val="clear" w:color="auto" w:fill="auto"/>
            <w:tcMar>
              <w:top w:w="100" w:type="dxa"/>
              <w:left w:w="100" w:type="dxa"/>
              <w:bottom w:w="100" w:type="dxa"/>
              <w:right w:w="100" w:type="dxa"/>
            </w:tcMar>
          </w:tcPr>
          <w:p w14:paraId="60DB7256" w14:textId="77777777" w:rsidR="002B1F19" w:rsidRDefault="002B1F19">
            <w:pPr>
              <w:widowControl w:val="0"/>
              <w:rPr>
                <w:sz w:val="20"/>
                <w:szCs w:val="20"/>
              </w:rPr>
            </w:pPr>
          </w:p>
        </w:tc>
        <w:tc>
          <w:tcPr>
            <w:tcW w:w="214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DBE2548"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Ciencias Naturales</w:t>
            </w:r>
          </w:p>
        </w:tc>
        <w:tc>
          <w:tcPr>
            <w:tcW w:w="271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2A92567"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1</w:t>
            </w:r>
          </w:p>
        </w:tc>
        <w:tc>
          <w:tcPr>
            <w:tcW w:w="1395"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0E0CCFFD" w14:textId="77777777" w:rsidR="002B1F19" w:rsidRDefault="002B1F19">
            <w:pPr>
              <w:widowControl w:val="0"/>
              <w:rPr>
                <w:sz w:val="20"/>
                <w:szCs w:val="20"/>
              </w:rPr>
            </w:pPr>
          </w:p>
        </w:tc>
      </w:tr>
      <w:tr w:rsidR="002B1F19" w14:paraId="08BF5945" w14:textId="77777777">
        <w:trPr>
          <w:trHeight w:val="400"/>
        </w:trPr>
        <w:tc>
          <w:tcPr>
            <w:tcW w:w="2777" w:type="dxa"/>
            <w:vMerge/>
            <w:tcBorders>
              <w:bottom w:val="single" w:sz="12" w:space="0" w:color="000000"/>
              <w:right w:val="single" w:sz="6" w:space="0" w:color="000000"/>
            </w:tcBorders>
            <w:shd w:val="clear" w:color="auto" w:fill="auto"/>
            <w:tcMar>
              <w:top w:w="100" w:type="dxa"/>
              <w:left w:w="100" w:type="dxa"/>
              <w:bottom w:w="100" w:type="dxa"/>
              <w:right w:w="100" w:type="dxa"/>
            </w:tcMar>
          </w:tcPr>
          <w:p w14:paraId="705778FC" w14:textId="77777777" w:rsidR="002B1F19" w:rsidRDefault="002B1F19">
            <w:pPr>
              <w:widowControl w:val="0"/>
              <w:rPr>
                <w:sz w:val="20"/>
                <w:szCs w:val="20"/>
              </w:rPr>
            </w:pPr>
          </w:p>
        </w:tc>
        <w:tc>
          <w:tcPr>
            <w:tcW w:w="2145" w:type="dxa"/>
            <w:tcBorders>
              <w:top w:val="single" w:sz="6" w:space="0" w:color="CCCCCC"/>
              <w:left w:val="single" w:sz="6" w:space="0" w:color="CCCCCC"/>
              <w:bottom w:val="single" w:sz="12" w:space="0" w:color="000000"/>
              <w:right w:val="single" w:sz="6" w:space="0" w:color="000000"/>
            </w:tcBorders>
            <w:shd w:val="clear" w:color="auto" w:fill="FEF8E3"/>
            <w:tcMar>
              <w:top w:w="40" w:type="dxa"/>
              <w:left w:w="40" w:type="dxa"/>
              <w:bottom w:w="40" w:type="dxa"/>
              <w:right w:w="40" w:type="dxa"/>
            </w:tcMar>
            <w:vAlign w:val="bottom"/>
          </w:tcPr>
          <w:p w14:paraId="66C949B0"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Ingeniería y Tecnología</w:t>
            </w:r>
          </w:p>
        </w:tc>
        <w:tc>
          <w:tcPr>
            <w:tcW w:w="2715" w:type="dxa"/>
            <w:tcBorders>
              <w:top w:val="single" w:sz="6" w:space="0" w:color="CCCCCC"/>
              <w:left w:val="single" w:sz="6" w:space="0" w:color="CCCCCC"/>
              <w:bottom w:val="single" w:sz="12" w:space="0" w:color="000000"/>
              <w:right w:val="single" w:sz="6" w:space="0" w:color="000000"/>
            </w:tcBorders>
            <w:shd w:val="clear" w:color="auto" w:fill="FEF8E3"/>
            <w:tcMar>
              <w:top w:w="40" w:type="dxa"/>
              <w:left w:w="40" w:type="dxa"/>
              <w:bottom w:w="40" w:type="dxa"/>
              <w:right w:w="40" w:type="dxa"/>
            </w:tcMar>
            <w:vAlign w:val="bottom"/>
          </w:tcPr>
          <w:p w14:paraId="531CE5BD" w14:textId="77777777" w:rsidR="002B1F19" w:rsidRDefault="00F80E55">
            <w:pPr>
              <w:widowControl w:val="0"/>
              <w:jc w:val="center"/>
              <w:rPr>
                <w:rFonts w:ascii="Garamond" w:eastAsia="Garamond" w:hAnsi="Garamond" w:cs="Garamond"/>
                <w:sz w:val="24"/>
                <w:szCs w:val="24"/>
              </w:rPr>
            </w:pPr>
            <w:r>
              <w:rPr>
                <w:rFonts w:ascii="Garamond" w:eastAsia="Garamond" w:hAnsi="Garamond" w:cs="Garamond"/>
                <w:sz w:val="24"/>
                <w:szCs w:val="24"/>
              </w:rPr>
              <w:t>2</w:t>
            </w:r>
          </w:p>
        </w:tc>
        <w:tc>
          <w:tcPr>
            <w:tcW w:w="1395" w:type="dxa"/>
            <w:vMerge/>
            <w:tcBorders>
              <w:bottom w:val="single" w:sz="12" w:space="0" w:color="000000"/>
              <w:right w:val="single" w:sz="12" w:space="0" w:color="000000"/>
            </w:tcBorders>
            <w:shd w:val="clear" w:color="auto" w:fill="auto"/>
            <w:tcMar>
              <w:top w:w="100" w:type="dxa"/>
              <w:left w:w="100" w:type="dxa"/>
              <w:bottom w:w="100" w:type="dxa"/>
              <w:right w:w="100" w:type="dxa"/>
            </w:tcMar>
          </w:tcPr>
          <w:p w14:paraId="16A666B8" w14:textId="77777777" w:rsidR="002B1F19" w:rsidRDefault="002B1F19">
            <w:pPr>
              <w:widowControl w:val="0"/>
              <w:rPr>
                <w:sz w:val="20"/>
                <w:szCs w:val="20"/>
              </w:rPr>
            </w:pPr>
          </w:p>
        </w:tc>
      </w:tr>
    </w:tbl>
    <w:p w14:paraId="2FD056ED" w14:textId="77777777" w:rsidR="002B1F19" w:rsidRDefault="002B1F19">
      <w:pPr>
        <w:jc w:val="both"/>
        <w:rPr>
          <w:rFonts w:ascii="Garamond" w:eastAsia="Garamond" w:hAnsi="Garamond" w:cs="Garamond"/>
          <w:sz w:val="24"/>
          <w:szCs w:val="24"/>
        </w:rPr>
      </w:pPr>
    </w:p>
    <w:p w14:paraId="66A3980A" w14:textId="77777777" w:rsidR="002B1F19" w:rsidRDefault="00F80E55">
      <w:pPr>
        <w:jc w:val="center"/>
        <w:rPr>
          <w:rFonts w:ascii="Garamond" w:eastAsia="Garamond" w:hAnsi="Garamond" w:cs="Garamond"/>
          <w:sz w:val="24"/>
          <w:szCs w:val="24"/>
        </w:rPr>
      </w:pPr>
      <w:r>
        <w:rPr>
          <w:rFonts w:ascii="Garamond" w:eastAsia="Garamond" w:hAnsi="Garamond" w:cs="Garamond"/>
          <w:b/>
          <w:sz w:val="24"/>
          <w:szCs w:val="24"/>
        </w:rPr>
        <w:t>Fuente</w:t>
      </w:r>
      <w:r>
        <w:rPr>
          <w:rFonts w:ascii="Garamond" w:eastAsia="Garamond" w:hAnsi="Garamond" w:cs="Garamond"/>
          <w:sz w:val="24"/>
          <w:szCs w:val="24"/>
        </w:rPr>
        <w:t>: Vicerrectoría de Investigaciones y Posgrados, según clasificación de grupos 2017</w:t>
      </w:r>
    </w:p>
    <w:p w14:paraId="2D0C9E96" w14:textId="77777777" w:rsidR="002B1F19" w:rsidRDefault="002B1F19">
      <w:pPr>
        <w:jc w:val="both"/>
        <w:rPr>
          <w:rFonts w:ascii="Garamond" w:eastAsia="Garamond" w:hAnsi="Garamond" w:cs="Garamond"/>
          <w:sz w:val="24"/>
          <w:szCs w:val="24"/>
        </w:rPr>
      </w:pPr>
    </w:p>
    <w:p w14:paraId="582CA9FF" w14:textId="77777777" w:rsidR="002B1F19" w:rsidRDefault="002B1F19">
      <w:pPr>
        <w:jc w:val="both"/>
        <w:rPr>
          <w:rFonts w:ascii="Garamond" w:eastAsia="Garamond" w:hAnsi="Garamond" w:cs="Garamond"/>
          <w:sz w:val="24"/>
          <w:szCs w:val="24"/>
        </w:rPr>
      </w:pPr>
    </w:p>
    <w:p w14:paraId="44827CBE"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Respecto a la clasificación de investigadores para los años 2014, 2015 y 2017 se observa un incremento del 39,4%. Este comportamiento ascendente también se presenta en las</w:t>
      </w:r>
      <w:r>
        <w:rPr>
          <w:rFonts w:ascii="Garamond" w:eastAsia="Garamond" w:hAnsi="Garamond" w:cs="Garamond"/>
          <w:sz w:val="24"/>
          <w:szCs w:val="24"/>
        </w:rPr>
        <w:t xml:space="preserve"> diferentes categorías. Cabe destacar que en la última convocatoria se registra por primera vez un investigador en la categoría de emérito.  </w:t>
      </w:r>
    </w:p>
    <w:p w14:paraId="5CF86E72" w14:textId="77777777" w:rsidR="002B1F19" w:rsidRDefault="002B1F19">
      <w:pPr>
        <w:jc w:val="both"/>
        <w:rPr>
          <w:rFonts w:ascii="Garamond" w:eastAsia="Garamond" w:hAnsi="Garamond" w:cs="Garamond"/>
          <w:i/>
          <w:sz w:val="24"/>
          <w:szCs w:val="24"/>
        </w:rPr>
      </w:pPr>
    </w:p>
    <w:p w14:paraId="41B1FB0F" w14:textId="77777777" w:rsidR="002B1F19" w:rsidRDefault="002B1F19">
      <w:pPr>
        <w:jc w:val="both"/>
        <w:rPr>
          <w:rFonts w:ascii="Garamond" w:eastAsia="Garamond" w:hAnsi="Garamond" w:cs="Garamond"/>
          <w:i/>
          <w:sz w:val="24"/>
          <w:szCs w:val="24"/>
        </w:rPr>
      </w:pPr>
    </w:p>
    <w:p w14:paraId="63F93AA6" w14:textId="77777777" w:rsidR="002B1F19" w:rsidRDefault="00F80E55">
      <w:pPr>
        <w:jc w:val="both"/>
        <w:rPr>
          <w:rFonts w:ascii="Garamond" w:eastAsia="Garamond" w:hAnsi="Garamond" w:cs="Garamond"/>
          <w:i/>
          <w:sz w:val="24"/>
          <w:szCs w:val="24"/>
        </w:rPr>
      </w:pPr>
      <w:r>
        <w:rPr>
          <w:rFonts w:ascii="Garamond" w:eastAsia="Garamond" w:hAnsi="Garamond" w:cs="Garamond"/>
          <w:i/>
          <w:noProof/>
          <w:sz w:val="24"/>
          <w:szCs w:val="24"/>
        </w:rPr>
        <w:drawing>
          <wp:inline distT="114300" distB="114300" distL="114300" distR="114300" wp14:anchorId="546A39D1" wp14:editId="0A38F440">
            <wp:extent cx="5734050" cy="2421676"/>
            <wp:effectExtent l="0" t="0" r="0" b="0"/>
            <wp:docPr id="3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t="11880" b="13190"/>
                    <a:stretch>
                      <a:fillRect/>
                    </a:stretch>
                  </pic:blipFill>
                  <pic:spPr>
                    <a:xfrm>
                      <a:off x="0" y="0"/>
                      <a:ext cx="5734050" cy="2421676"/>
                    </a:xfrm>
                    <a:prstGeom prst="rect">
                      <a:avLst/>
                    </a:prstGeom>
                    <a:ln/>
                  </pic:spPr>
                </pic:pic>
              </a:graphicData>
            </a:graphic>
          </wp:inline>
        </w:drawing>
      </w:r>
    </w:p>
    <w:p w14:paraId="6B4BE817" w14:textId="77777777" w:rsidR="002B1F19" w:rsidRDefault="002B1F19">
      <w:pPr>
        <w:jc w:val="both"/>
        <w:rPr>
          <w:rFonts w:ascii="Garamond" w:eastAsia="Garamond" w:hAnsi="Garamond" w:cs="Garamond"/>
          <w:i/>
          <w:sz w:val="24"/>
          <w:szCs w:val="24"/>
        </w:rPr>
      </w:pPr>
    </w:p>
    <w:p w14:paraId="5A13A8E0" w14:textId="77777777" w:rsidR="002B1F19" w:rsidRDefault="002B1F19">
      <w:pPr>
        <w:jc w:val="both"/>
        <w:rPr>
          <w:rFonts w:ascii="Garamond" w:eastAsia="Garamond" w:hAnsi="Garamond" w:cs="Garamond"/>
          <w:i/>
          <w:sz w:val="24"/>
          <w:szCs w:val="24"/>
        </w:rPr>
      </w:pPr>
    </w:p>
    <w:p w14:paraId="3F427038" w14:textId="77777777" w:rsidR="002B1F19" w:rsidRDefault="002B1F19">
      <w:pPr>
        <w:jc w:val="both"/>
        <w:rPr>
          <w:rFonts w:ascii="Garamond" w:eastAsia="Garamond" w:hAnsi="Garamond" w:cs="Garamond"/>
          <w:sz w:val="24"/>
          <w:szCs w:val="24"/>
        </w:rPr>
      </w:pPr>
    </w:p>
    <w:p w14:paraId="72D7DBD3" w14:textId="77777777" w:rsidR="002B1F19" w:rsidRDefault="002B1F19">
      <w:pPr>
        <w:jc w:val="both"/>
        <w:rPr>
          <w:rFonts w:ascii="Garamond" w:eastAsia="Garamond" w:hAnsi="Garamond" w:cs="Garamond"/>
          <w:sz w:val="24"/>
          <w:szCs w:val="24"/>
        </w:rPr>
      </w:pPr>
    </w:p>
    <w:p w14:paraId="5E19126E" w14:textId="77777777" w:rsidR="002B1F19" w:rsidRDefault="002B1F19">
      <w:pPr>
        <w:jc w:val="both"/>
        <w:rPr>
          <w:rFonts w:ascii="Garamond" w:eastAsia="Garamond" w:hAnsi="Garamond" w:cs="Garamond"/>
          <w:sz w:val="24"/>
          <w:szCs w:val="24"/>
        </w:rPr>
      </w:pPr>
    </w:p>
    <w:p w14:paraId="02E4EBA5" w14:textId="77777777" w:rsidR="002B1F19" w:rsidRDefault="00F80E55">
      <w:pPr>
        <w:jc w:val="center"/>
        <w:rPr>
          <w:rFonts w:ascii="Garamond" w:eastAsia="Garamond" w:hAnsi="Garamond" w:cs="Garamond"/>
          <w:b/>
          <w:sz w:val="24"/>
          <w:szCs w:val="24"/>
        </w:rPr>
      </w:pPr>
      <w:r>
        <w:rPr>
          <w:rFonts w:ascii="Garamond" w:eastAsia="Garamond" w:hAnsi="Garamond" w:cs="Garamond"/>
          <w:b/>
          <w:sz w:val="24"/>
          <w:szCs w:val="24"/>
        </w:rPr>
        <w:t>Número de investigadores clasificados según convocatorias COLCIENCIAS</w:t>
      </w:r>
    </w:p>
    <w:p w14:paraId="2330B8B7" w14:textId="77777777" w:rsidR="002B1F19" w:rsidRDefault="00F80E55">
      <w:pPr>
        <w:jc w:val="both"/>
        <w:rPr>
          <w:rFonts w:ascii="Garamond" w:eastAsia="Garamond" w:hAnsi="Garamond" w:cs="Garamond"/>
          <w:i/>
          <w:sz w:val="24"/>
          <w:szCs w:val="24"/>
        </w:rPr>
      </w:pPr>
      <w:r>
        <w:rPr>
          <w:rFonts w:ascii="Garamond" w:eastAsia="Garamond" w:hAnsi="Garamond" w:cs="Garamond"/>
          <w:i/>
          <w:noProof/>
          <w:sz w:val="24"/>
          <w:szCs w:val="24"/>
        </w:rPr>
        <w:lastRenderedPageBreak/>
        <w:drawing>
          <wp:inline distT="114300" distB="114300" distL="114300" distR="114300" wp14:anchorId="45FEEF40" wp14:editId="602D4656">
            <wp:extent cx="5734050" cy="2095500"/>
            <wp:effectExtent l="0" t="0" r="0" b="0"/>
            <wp:docPr id="2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t="22123" b="12979"/>
                    <a:stretch>
                      <a:fillRect/>
                    </a:stretch>
                  </pic:blipFill>
                  <pic:spPr>
                    <a:xfrm>
                      <a:off x="0" y="0"/>
                      <a:ext cx="5734050" cy="2095500"/>
                    </a:xfrm>
                    <a:prstGeom prst="rect">
                      <a:avLst/>
                    </a:prstGeom>
                    <a:ln/>
                  </pic:spPr>
                </pic:pic>
              </a:graphicData>
            </a:graphic>
          </wp:inline>
        </w:drawing>
      </w:r>
    </w:p>
    <w:p w14:paraId="1F2AF88F" w14:textId="77777777" w:rsidR="002B1F19" w:rsidRDefault="002B1F19">
      <w:pPr>
        <w:jc w:val="both"/>
        <w:rPr>
          <w:rFonts w:ascii="Garamond" w:eastAsia="Garamond" w:hAnsi="Garamond" w:cs="Garamond"/>
          <w:i/>
          <w:sz w:val="24"/>
          <w:szCs w:val="24"/>
        </w:rPr>
      </w:pPr>
    </w:p>
    <w:p w14:paraId="4E8E59A5" w14:textId="77777777" w:rsidR="002B1F19" w:rsidRDefault="002B1F19">
      <w:pPr>
        <w:jc w:val="center"/>
        <w:rPr>
          <w:rFonts w:ascii="Garamond" w:eastAsia="Garamond" w:hAnsi="Garamond" w:cs="Garamond"/>
          <w:sz w:val="24"/>
          <w:szCs w:val="24"/>
        </w:rPr>
      </w:pPr>
    </w:p>
    <w:p w14:paraId="4611E4A9"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 xml:space="preserve">Tomando como grupo de referencias un conjunto de Universidades públicas con un comportamiento similar a la institución, se observa que la Universidad de Caldas ocupa el primer lugar </w:t>
      </w:r>
      <w:r>
        <w:rPr>
          <w:rFonts w:ascii="Garamond" w:eastAsia="Garamond" w:hAnsi="Garamond" w:cs="Garamond"/>
          <w:sz w:val="24"/>
          <w:szCs w:val="24"/>
        </w:rPr>
        <w:t xml:space="preserve">en el Eje Cafetero respecto al número de investigadores clasificados y el tercero con relación al grupo de referencia luego de la Universidad Industrial de Santander (UIS) y la Universidad de Cartagena. </w:t>
      </w:r>
    </w:p>
    <w:p w14:paraId="377DF971" w14:textId="77777777" w:rsidR="002B1F19" w:rsidRDefault="002B1F19">
      <w:pPr>
        <w:jc w:val="both"/>
        <w:rPr>
          <w:rFonts w:ascii="Garamond" w:eastAsia="Garamond" w:hAnsi="Garamond" w:cs="Garamond"/>
          <w:sz w:val="24"/>
          <w:szCs w:val="24"/>
        </w:rPr>
      </w:pPr>
    </w:p>
    <w:p w14:paraId="76D739EA"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Dado que el 63,15 % de los investigadores se encuen</w:t>
      </w:r>
      <w:r>
        <w:rPr>
          <w:rFonts w:ascii="Garamond" w:eastAsia="Garamond" w:hAnsi="Garamond" w:cs="Garamond"/>
          <w:sz w:val="24"/>
          <w:szCs w:val="24"/>
        </w:rPr>
        <w:t>tran en la categoría junior; el 25,6% en asociado y el 10,5% en senior es necesario que la institución considere este aspecto como un factor importante para la consolidación de la investigación y otorgue continuidad a la estrategia de sostenibilidad y mejo</w:t>
      </w:r>
      <w:r>
        <w:rPr>
          <w:rFonts w:ascii="Garamond" w:eastAsia="Garamond" w:hAnsi="Garamond" w:cs="Garamond"/>
          <w:sz w:val="24"/>
          <w:szCs w:val="24"/>
        </w:rPr>
        <w:t xml:space="preserve">ramiento de la clasificación de investigadores que viene llevando a cabo la Vicerrectoría de Investigaciones. Al respecto es preciso orientar los esfuerzos a ampliar y mejorar la clasificación de los investigadores, especialmente, en categorías diferentes </w:t>
      </w:r>
      <w:r>
        <w:rPr>
          <w:rFonts w:ascii="Garamond" w:eastAsia="Garamond" w:hAnsi="Garamond" w:cs="Garamond"/>
          <w:sz w:val="24"/>
          <w:szCs w:val="24"/>
        </w:rPr>
        <w:t xml:space="preserve">a junior.    </w:t>
      </w:r>
    </w:p>
    <w:p w14:paraId="39D5CC5B" w14:textId="77777777" w:rsidR="002B1F19" w:rsidRDefault="002B1F19">
      <w:pPr>
        <w:jc w:val="both"/>
        <w:rPr>
          <w:rFonts w:ascii="Garamond" w:eastAsia="Garamond" w:hAnsi="Garamond" w:cs="Garamond"/>
          <w:sz w:val="24"/>
          <w:szCs w:val="24"/>
        </w:rPr>
      </w:pPr>
    </w:p>
    <w:p w14:paraId="5A0D8CC2" w14:textId="77777777" w:rsidR="002B1F19" w:rsidRDefault="002B1F19">
      <w:pPr>
        <w:jc w:val="both"/>
        <w:rPr>
          <w:rFonts w:ascii="Garamond" w:eastAsia="Garamond" w:hAnsi="Garamond" w:cs="Garamond"/>
          <w:sz w:val="24"/>
          <w:szCs w:val="24"/>
        </w:rPr>
      </w:pPr>
    </w:p>
    <w:p w14:paraId="54DDD62D" w14:textId="77777777" w:rsidR="002B1F19" w:rsidRDefault="00F80E55">
      <w:pPr>
        <w:jc w:val="center"/>
        <w:rPr>
          <w:rFonts w:ascii="Garamond" w:eastAsia="Garamond" w:hAnsi="Garamond" w:cs="Garamond"/>
          <w:b/>
          <w:sz w:val="24"/>
          <w:szCs w:val="24"/>
        </w:rPr>
      </w:pPr>
      <w:r>
        <w:rPr>
          <w:rFonts w:ascii="Garamond" w:eastAsia="Garamond" w:hAnsi="Garamond" w:cs="Garamond"/>
          <w:b/>
          <w:sz w:val="24"/>
          <w:szCs w:val="24"/>
        </w:rPr>
        <w:t>Investigadores clasificados en Universidad de referencia (Convocatoria año 2017)</w:t>
      </w:r>
    </w:p>
    <w:p w14:paraId="5D6E652C" w14:textId="77777777" w:rsidR="002B1F19" w:rsidRDefault="002B1F19">
      <w:pPr>
        <w:jc w:val="both"/>
        <w:rPr>
          <w:rFonts w:ascii="Garamond" w:eastAsia="Garamond" w:hAnsi="Garamond" w:cs="Garamond"/>
          <w:i/>
          <w:sz w:val="24"/>
          <w:szCs w:val="24"/>
        </w:rPr>
      </w:pPr>
    </w:p>
    <w:p w14:paraId="6F2C273E" w14:textId="77777777" w:rsidR="002B1F19" w:rsidRDefault="00F80E55">
      <w:pPr>
        <w:jc w:val="both"/>
        <w:rPr>
          <w:rFonts w:ascii="Garamond" w:eastAsia="Garamond" w:hAnsi="Garamond" w:cs="Garamond"/>
          <w:i/>
          <w:sz w:val="24"/>
          <w:szCs w:val="24"/>
        </w:rPr>
      </w:pPr>
      <w:r>
        <w:rPr>
          <w:rFonts w:ascii="Garamond" w:eastAsia="Garamond" w:hAnsi="Garamond" w:cs="Garamond"/>
          <w:i/>
          <w:noProof/>
          <w:sz w:val="24"/>
          <w:szCs w:val="24"/>
        </w:rPr>
        <w:drawing>
          <wp:inline distT="114300" distB="114300" distL="114300" distR="114300" wp14:anchorId="43F03426" wp14:editId="710D66A6">
            <wp:extent cx="6600825" cy="1747816"/>
            <wp:effectExtent l="0" t="0" r="0" b="0"/>
            <wp:docPr id="5" name="image6.png" descr="Gráfico"/>
            <wp:cNvGraphicFramePr/>
            <a:graphic xmlns:a="http://schemas.openxmlformats.org/drawingml/2006/main">
              <a:graphicData uri="http://schemas.openxmlformats.org/drawingml/2006/picture">
                <pic:pic xmlns:pic="http://schemas.openxmlformats.org/drawingml/2006/picture">
                  <pic:nvPicPr>
                    <pic:cNvPr id="0" name="image6.png" descr="Gráfico"/>
                    <pic:cNvPicPr preferRelativeResize="0"/>
                  </pic:nvPicPr>
                  <pic:blipFill>
                    <a:blip r:embed="rId16"/>
                    <a:srcRect t="11896"/>
                    <a:stretch>
                      <a:fillRect/>
                    </a:stretch>
                  </pic:blipFill>
                  <pic:spPr>
                    <a:xfrm>
                      <a:off x="0" y="0"/>
                      <a:ext cx="6600825" cy="1747816"/>
                    </a:xfrm>
                    <a:prstGeom prst="rect">
                      <a:avLst/>
                    </a:prstGeom>
                    <a:ln/>
                  </pic:spPr>
                </pic:pic>
              </a:graphicData>
            </a:graphic>
          </wp:inline>
        </w:drawing>
      </w:r>
    </w:p>
    <w:p w14:paraId="0BEA62B3" w14:textId="77777777" w:rsidR="002B1F19" w:rsidRDefault="002B1F19">
      <w:pPr>
        <w:jc w:val="both"/>
        <w:rPr>
          <w:rFonts w:ascii="Garamond" w:eastAsia="Garamond" w:hAnsi="Garamond" w:cs="Garamond"/>
          <w:i/>
          <w:sz w:val="24"/>
          <w:szCs w:val="24"/>
        </w:rPr>
      </w:pPr>
    </w:p>
    <w:p w14:paraId="39D9132B" w14:textId="77777777" w:rsidR="002B1F19" w:rsidRDefault="002B1F19">
      <w:pPr>
        <w:jc w:val="both"/>
        <w:rPr>
          <w:rFonts w:ascii="Garamond" w:eastAsia="Garamond" w:hAnsi="Garamond" w:cs="Garamond"/>
          <w:i/>
          <w:sz w:val="24"/>
          <w:szCs w:val="24"/>
        </w:rPr>
      </w:pPr>
    </w:p>
    <w:p w14:paraId="57C11D8E" w14:textId="77777777" w:rsidR="002B1F19" w:rsidRDefault="002B1F19">
      <w:pPr>
        <w:jc w:val="both"/>
        <w:rPr>
          <w:rFonts w:ascii="Garamond" w:eastAsia="Garamond" w:hAnsi="Garamond" w:cs="Garamond"/>
          <w:i/>
          <w:sz w:val="24"/>
          <w:szCs w:val="24"/>
        </w:rPr>
      </w:pPr>
    </w:p>
    <w:p w14:paraId="2697AE9F" w14:textId="77777777" w:rsidR="002B1F19" w:rsidRDefault="002B1F19">
      <w:pPr>
        <w:jc w:val="both"/>
        <w:rPr>
          <w:rFonts w:ascii="Garamond" w:eastAsia="Garamond" w:hAnsi="Garamond" w:cs="Garamond"/>
          <w:i/>
          <w:sz w:val="24"/>
          <w:szCs w:val="24"/>
        </w:rPr>
      </w:pPr>
    </w:p>
    <w:p w14:paraId="2412E207" w14:textId="77777777" w:rsidR="002B1F19" w:rsidRDefault="00F80E55">
      <w:pPr>
        <w:jc w:val="both"/>
        <w:rPr>
          <w:rFonts w:ascii="Garamond" w:eastAsia="Garamond" w:hAnsi="Garamond" w:cs="Garamond"/>
          <w:i/>
          <w:sz w:val="24"/>
          <w:szCs w:val="24"/>
        </w:rPr>
      </w:pPr>
      <w:r>
        <w:rPr>
          <w:rFonts w:ascii="Garamond" w:eastAsia="Garamond" w:hAnsi="Garamond" w:cs="Garamond"/>
          <w:i/>
          <w:sz w:val="24"/>
          <w:szCs w:val="24"/>
        </w:rPr>
        <w:t xml:space="preserve">b. Fuentes de financiación de la investigación </w:t>
      </w:r>
    </w:p>
    <w:p w14:paraId="0375FF56" w14:textId="77777777" w:rsidR="002B1F19" w:rsidRDefault="002B1F19">
      <w:pPr>
        <w:jc w:val="both"/>
        <w:rPr>
          <w:rFonts w:ascii="Garamond" w:eastAsia="Garamond" w:hAnsi="Garamond" w:cs="Garamond"/>
          <w:i/>
          <w:sz w:val="24"/>
          <w:szCs w:val="24"/>
        </w:rPr>
      </w:pPr>
    </w:p>
    <w:p w14:paraId="60D14315" w14:textId="77777777" w:rsidR="002B1F19" w:rsidRDefault="00F80E55">
      <w:pPr>
        <w:jc w:val="both"/>
        <w:rPr>
          <w:rFonts w:ascii="Garamond" w:eastAsia="Garamond" w:hAnsi="Garamond" w:cs="Garamond"/>
          <w:i/>
          <w:sz w:val="24"/>
          <w:szCs w:val="24"/>
        </w:rPr>
      </w:pPr>
      <w:r>
        <w:rPr>
          <w:rFonts w:ascii="Garamond" w:eastAsia="Garamond" w:hAnsi="Garamond" w:cs="Garamond"/>
          <w:i/>
          <w:noProof/>
          <w:sz w:val="24"/>
          <w:szCs w:val="24"/>
        </w:rPr>
        <w:lastRenderedPageBreak/>
        <w:drawing>
          <wp:inline distT="114300" distB="114300" distL="114300" distR="114300" wp14:anchorId="2A27EE22" wp14:editId="58E763B2">
            <wp:extent cx="5734050" cy="31877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734050" cy="3187700"/>
                    </a:xfrm>
                    <a:prstGeom prst="rect">
                      <a:avLst/>
                    </a:prstGeom>
                    <a:ln/>
                  </pic:spPr>
                </pic:pic>
              </a:graphicData>
            </a:graphic>
          </wp:inline>
        </w:drawing>
      </w:r>
    </w:p>
    <w:p w14:paraId="57076959" w14:textId="77777777" w:rsidR="002B1F19" w:rsidRDefault="002B1F19">
      <w:pPr>
        <w:jc w:val="center"/>
        <w:rPr>
          <w:rFonts w:ascii="Garamond" w:eastAsia="Garamond" w:hAnsi="Garamond" w:cs="Garamond"/>
          <w:i/>
          <w:sz w:val="24"/>
          <w:szCs w:val="24"/>
        </w:rPr>
      </w:pPr>
    </w:p>
    <w:p w14:paraId="52616AAD" w14:textId="77777777" w:rsidR="002B1F19" w:rsidRDefault="002B1F19">
      <w:pPr>
        <w:jc w:val="both"/>
        <w:rPr>
          <w:rFonts w:ascii="Garamond" w:eastAsia="Garamond" w:hAnsi="Garamond" w:cs="Garamond"/>
          <w:i/>
          <w:sz w:val="24"/>
          <w:szCs w:val="24"/>
        </w:rPr>
      </w:pPr>
    </w:p>
    <w:p w14:paraId="7E464589" w14:textId="77777777" w:rsidR="002B1F19" w:rsidRDefault="002B1F19">
      <w:pPr>
        <w:jc w:val="both"/>
        <w:rPr>
          <w:rFonts w:ascii="Garamond" w:eastAsia="Garamond" w:hAnsi="Garamond" w:cs="Garamond"/>
          <w:i/>
          <w:sz w:val="24"/>
          <w:szCs w:val="24"/>
        </w:rPr>
      </w:pPr>
    </w:p>
    <w:p w14:paraId="68E69F0A" w14:textId="77777777" w:rsidR="002B1F19" w:rsidRDefault="002B1F19">
      <w:pPr>
        <w:jc w:val="both"/>
        <w:rPr>
          <w:rFonts w:ascii="Garamond" w:eastAsia="Garamond" w:hAnsi="Garamond" w:cs="Garamond"/>
          <w:i/>
          <w:sz w:val="24"/>
          <w:szCs w:val="24"/>
        </w:rPr>
      </w:pPr>
    </w:p>
    <w:p w14:paraId="72702FA7" w14:textId="77777777" w:rsidR="002B1F19" w:rsidRDefault="002B1F19">
      <w:pPr>
        <w:jc w:val="both"/>
        <w:rPr>
          <w:rFonts w:ascii="Garamond" w:eastAsia="Garamond" w:hAnsi="Garamond" w:cs="Garamond"/>
          <w:i/>
          <w:sz w:val="24"/>
          <w:szCs w:val="24"/>
        </w:rPr>
      </w:pPr>
    </w:p>
    <w:p w14:paraId="54E0FE85" w14:textId="77777777" w:rsidR="002B1F19" w:rsidRDefault="002B1F19">
      <w:pPr>
        <w:jc w:val="both"/>
        <w:rPr>
          <w:rFonts w:ascii="Garamond" w:eastAsia="Garamond" w:hAnsi="Garamond" w:cs="Garamond"/>
          <w:i/>
          <w:sz w:val="24"/>
          <w:szCs w:val="24"/>
        </w:rPr>
      </w:pPr>
    </w:p>
    <w:p w14:paraId="56912109" w14:textId="77777777" w:rsidR="002B1F19" w:rsidRDefault="002B1F19">
      <w:pPr>
        <w:jc w:val="both"/>
        <w:rPr>
          <w:rFonts w:ascii="Garamond" w:eastAsia="Garamond" w:hAnsi="Garamond" w:cs="Garamond"/>
          <w:i/>
          <w:sz w:val="24"/>
          <w:szCs w:val="24"/>
        </w:rPr>
      </w:pPr>
    </w:p>
    <w:p w14:paraId="18AD459E" w14:textId="77777777" w:rsidR="002B1F19" w:rsidRDefault="002B1F19">
      <w:pPr>
        <w:jc w:val="both"/>
        <w:rPr>
          <w:rFonts w:ascii="Garamond" w:eastAsia="Garamond" w:hAnsi="Garamond" w:cs="Garamond"/>
          <w:i/>
          <w:sz w:val="24"/>
          <w:szCs w:val="24"/>
        </w:rPr>
      </w:pPr>
    </w:p>
    <w:p w14:paraId="4A546EBA" w14:textId="77777777" w:rsidR="002B1F19" w:rsidRDefault="002B1F19">
      <w:pPr>
        <w:jc w:val="both"/>
        <w:rPr>
          <w:rFonts w:ascii="Garamond" w:eastAsia="Garamond" w:hAnsi="Garamond" w:cs="Garamond"/>
          <w:i/>
          <w:sz w:val="24"/>
          <w:szCs w:val="24"/>
        </w:rPr>
      </w:pPr>
    </w:p>
    <w:p w14:paraId="2428B57B" w14:textId="77777777" w:rsidR="002B1F19" w:rsidRDefault="002B1F19">
      <w:pPr>
        <w:jc w:val="both"/>
        <w:rPr>
          <w:rFonts w:ascii="Garamond" w:eastAsia="Garamond" w:hAnsi="Garamond" w:cs="Garamond"/>
          <w:i/>
          <w:sz w:val="24"/>
          <w:szCs w:val="24"/>
        </w:rPr>
      </w:pPr>
    </w:p>
    <w:p w14:paraId="48C6F657" w14:textId="77777777" w:rsidR="002B1F19" w:rsidRDefault="002B1F19">
      <w:pPr>
        <w:jc w:val="both"/>
        <w:rPr>
          <w:rFonts w:ascii="Garamond" w:eastAsia="Garamond" w:hAnsi="Garamond" w:cs="Garamond"/>
          <w:i/>
          <w:sz w:val="24"/>
          <w:szCs w:val="24"/>
        </w:rPr>
      </w:pPr>
    </w:p>
    <w:p w14:paraId="13E54C76" w14:textId="77777777" w:rsidR="002B1F19" w:rsidRDefault="002B1F19">
      <w:pPr>
        <w:jc w:val="both"/>
        <w:rPr>
          <w:rFonts w:ascii="Garamond" w:eastAsia="Garamond" w:hAnsi="Garamond" w:cs="Garamond"/>
          <w:i/>
          <w:sz w:val="24"/>
          <w:szCs w:val="24"/>
        </w:rPr>
      </w:pPr>
    </w:p>
    <w:p w14:paraId="5EB31113" w14:textId="77777777" w:rsidR="002B1F19" w:rsidRDefault="002B1F19">
      <w:pPr>
        <w:jc w:val="both"/>
        <w:rPr>
          <w:rFonts w:ascii="Garamond" w:eastAsia="Garamond" w:hAnsi="Garamond" w:cs="Garamond"/>
          <w:i/>
          <w:sz w:val="24"/>
          <w:szCs w:val="24"/>
        </w:rPr>
      </w:pPr>
    </w:p>
    <w:p w14:paraId="16A2E750" w14:textId="77777777" w:rsidR="002B1F19" w:rsidRDefault="002B1F19">
      <w:pPr>
        <w:jc w:val="both"/>
        <w:rPr>
          <w:rFonts w:ascii="Garamond" w:eastAsia="Garamond" w:hAnsi="Garamond" w:cs="Garamond"/>
          <w:i/>
          <w:sz w:val="24"/>
          <w:szCs w:val="24"/>
        </w:rPr>
      </w:pPr>
    </w:p>
    <w:p w14:paraId="0290A0A3" w14:textId="77777777" w:rsidR="002B1F19" w:rsidRDefault="002B1F19">
      <w:pPr>
        <w:jc w:val="both"/>
        <w:rPr>
          <w:rFonts w:ascii="Garamond" w:eastAsia="Garamond" w:hAnsi="Garamond" w:cs="Garamond"/>
          <w:i/>
          <w:sz w:val="24"/>
          <w:szCs w:val="24"/>
        </w:rPr>
      </w:pPr>
    </w:p>
    <w:p w14:paraId="016F4604" w14:textId="77777777" w:rsidR="002B1F19" w:rsidRDefault="002B1F19">
      <w:pPr>
        <w:jc w:val="both"/>
        <w:rPr>
          <w:rFonts w:ascii="Garamond" w:eastAsia="Garamond" w:hAnsi="Garamond" w:cs="Garamond"/>
          <w:i/>
          <w:sz w:val="24"/>
          <w:szCs w:val="24"/>
        </w:rPr>
      </w:pPr>
    </w:p>
    <w:p w14:paraId="24DDAECB" w14:textId="77777777" w:rsidR="002B1F19" w:rsidRDefault="002B1F19">
      <w:pPr>
        <w:jc w:val="both"/>
        <w:rPr>
          <w:rFonts w:ascii="Garamond" w:eastAsia="Garamond" w:hAnsi="Garamond" w:cs="Garamond"/>
          <w:i/>
          <w:sz w:val="24"/>
          <w:szCs w:val="24"/>
        </w:rPr>
      </w:pPr>
    </w:p>
    <w:p w14:paraId="67877A14" w14:textId="77777777" w:rsidR="002B1F19" w:rsidRDefault="002B1F19">
      <w:pPr>
        <w:jc w:val="both"/>
        <w:rPr>
          <w:rFonts w:ascii="Garamond" w:eastAsia="Garamond" w:hAnsi="Garamond" w:cs="Garamond"/>
          <w:i/>
          <w:sz w:val="24"/>
          <w:szCs w:val="24"/>
        </w:rPr>
      </w:pPr>
    </w:p>
    <w:p w14:paraId="5363443E" w14:textId="77777777" w:rsidR="002B1F19" w:rsidRDefault="002B1F19">
      <w:pPr>
        <w:jc w:val="both"/>
        <w:rPr>
          <w:rFonts w:ascii="Garamond" w:eastAsia="Garamond" w:hAnsi="Garamond" w:cs="Garamond"/>
          <w:i/>
          <w:sz w:val="24"/>
          <w:szCs w:val="24"/>
        </w:rPr>
      </w:pPr>
    </w:p>
    <w:p w14:paraId="223DE122" w14:textId="77777777" w:rsidR="002B1F19" w:rsidRDefault="002B1F19">
      <w:pPr>
        <w:jc w:val="both"/>
        <w:rPr>
          <w:rFonts w:ascii="Garamond" w:eastAsia="Garamond" w:hAnsi="Garamond" w:cs="Garamond"/>
          <w:i/>
          <w:sz w:val="24"/>
          <w:szCs w:val="24"/>
        </w:rPr>
      </w:pPr>
    </w:p>
    <w:p w14:paraId="3AF28A54" w14:textId="77777777" w:rsidR="002B1F19" w:rsidRDefault="002B1F19">
      <w:pPr>
        <w:jc w:val="both"/>
        <w:rPr>
          <w:rFonts w:ascii="Garamond" w:eastAsia="Garamond" w:hAnsi="Garamond" w:cs="Garamond"/>
          <w:i/>
          <w:sz w:val="24"/>
          <w:szCs w:val="24"/>
        </w:rPr>
      </w:pPr>
    </w:p>
    <w:p w14:paraId="05B17C1B" w14:textId="77777777" w:rsidR="002B1F19" w:rsidRDefault="002B1F19">
      <w:pPr>
        <w:jc w:val="both"/>
        <w:rPr>
          <w:rFonts w:ascii="Garamond" w:eastAsia="Garamond" w:hAnsi="Garamond" w:cs="Garamond"/>
          <w:i/>
          <w:sz w:val="24"/>
          <w:szCs w:val="24"/>
        </w:rPr>
      </w:pPr>
    </w:p>
    <w:p w14:paraId="04F2C525" w14:textId="77777777" w:rsidR="002B1F19" w:rsidRDefault="00F80E55">
      <w:pPr>
        <w:jc w:val="both"/>
        <w:rPr>
          <w:rFonts w:ascii="Garamond" w:eastAsia="Garamond" w:hAnsi="Garamond" w:cs="Garamond"/>
          <w:i/>
          <w:sz w:val="24"/>
          <w:szCs w:val="24"/>
        </w:rPr>
      </w:pPr>
      <w:r>
        <w:rPr>
          <w:rFonts w:ascii="Garamond" w:eastAsia="Garamond" w:hAnsi="Garamond" w:cs="Garamond"/>
          <w:i/>
          <w:sz w:val="24"/>
          <w:szCs w:val="24"/>
        </w:rPr>
        <w:t>c. Caracterización de los proyectos de investigación</w:t>
      </w:r>
    </w:p>
    <w:p w14:paraId="7081CBCB" w14:textId="77777777" w:rsidR="002B1F19" w:rsidRDefault="002B1F19">
      <w:pPr>
        <w:jc w:val="both"/>
        <w:rPr>
          <w:rFonts w:ascii="Garamond" w:eastAsia="Garamond" w:hAnsi="Garamond" w:cs="Garamond"/>
          <w:i/>
          <w:sz w:val="24"/>
          <w:szCs w:val="24"/>
        </w:rPr>
      </w:pPr>
    </w:p>
    <w:p w14:paraId="3E742328"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 xml:space="preserve">Al considerar el número de proyectos inscritos en la VIP y realizados por integrantes de cada una de las Facultades en el período y pese a que el número de proyectos puede ser dependiente del tamaño de </w:t>
      </w:r>
      <w:r>
        <w:rPr>
          <w:rFonts w:ascii="Garamond" w:eastAsia="Garamond" w:hAnsi="Garamond" w:cs="Garamond"/>
          <w:sz w:val="24"/>
          <w:szCs w:val="24"/>
        </w:rPr>
        <w:t xml:space="preserve">estas, vale destacar que el promedio anual de proyectos presentados oscila entre 4,6 y 15,3, destacándose al mismo tiempo que el número de proyectos inscritos en las respectivas </w:t>
      </w:r>
      <w:r>
        <w:rPr>
          <w:rFonts w:ascii="Garamond" w:eastAsia="Garamond" w:hAnsi="Garamond" w:cs="Garamond"/>
          <w:sz w:val="24"/>
          <w:szCs w:val="24"/>
        </w:rPr>
        <w:lastRenderedPageBreak/>
        <w:t>Facultades es diferencial según el área del conocimiento. No obstante, el núme</w:t>
      </w:r>
      <w:r>
        <w:rPr>
          <w:rFonts w:ascii="Garamond" w:eastAsia="Garamond" w:hAnsi="Garamond" w:cs="Garamond"/>
          <w:sz w:val="24"/>
          <w:szCs w:val="24"/>
        </w:rPr>
        <w:t xml:space="preserve">ro de proyectos interfacultades es aún incipiente lo que permite sugerir la necesidad de fortalecer un mayor relacionamiento entre investigadores y grupos de las diferentes Facultades a fin de potenciar la interdisciplinariedad y la colaboración.   </w:t>
      </w:r>
    </w:p>
    <w:p w14:paraId="08758B7A" w14:textId="77777777" w:rsidR="002B1F19" w:rsidRDefault="002B1F19">
      <w:pPr>
        <w:jc w:val="both"/>
        <w:rPr>
          <w:rFonts w:ascii="Garamond" w:eastAsia="Garamond" w:hAnsi="Garamond" w:cs="Garamond"/>
          <w:sz w:val="24"/>
          <w:szCs w:val="24"/>
        </w:rPr>
      </w:pPr>
    </w:p>
    <w:p w14:paraId="207487E9" w14:textId="77777777" w:rsidR="002B1F19" w:rsidRDefault="00F80E55">
      <w:pPr>
        <w:jc w:val="both"/>
        <w:rPr>
          <w:rFonts w:ascii="Garamond" w:eastAsia="Garamond" w:hAnsi="Garamond" w:cs="Garamond"/>
          <w:sz w:val="24"/>
          <w:szCs w:val="24"/>
        </w:rPr>
      </w:pPr>
      <w:r>
        <w:rPr>
          <w:rFonts w:ascii="Garamond" w:eastAsia="Garamond" w:hAnsi="Garamond" w:cs="Garamond"/>
          <w:noProof/>
          <w:sz w:val="24"/>
          <w:szCs w:val="24"/>
        </w:rPr>
        <w:drawing>
          <wp:inline distT="114300" distB="114300" distL="114300" distR="114300" wp14:anchorId="3FE8793C" wp14:editId="547FB6E8">
            <wp:extent cx="4993481" cy="3079921"/>
            <wp:effectExtent l="0" t="0" r="0" b="0"/>
            <wp:docPr id="26" name="image16.png" descr="Gráfico"/>
            <wp:cNvGraphicFramePr/>
            <a:graphic xmlns:a="http://schemas.openxmlformats.org/drawingml/2006/main">
              <a:graphicData uri="http://schemas.openxmlformats.org/drawingml/2006/picture">
                <pic:pic xmlns:pic="http://schemas.openxmlformats.org/drawingml/2006/picture">
                  <pic:nvPicPr>
                    <pic:cNvPr id="0" name="image16.png" descr="Gráfico"/>
                    <pic:cNvPicPr preferRelativeResize="0"/>
                  </pic:nvPicPr>
                  <pic:blipFill>
                    <a:blip r:embed="rId18"/>
                    <a:srcRect/>
                    <a:stretch>
                      <a:fillRect/>
                    </a:stretch>
                  </pic:blipFill>
                  <pic:spPr>
                    <a:xfrm>
                      <a:off x="0" y="0"/>
                      <a:ext cx="4993481" cy="3079921"/>
                    </a:xfrm>
                    <a:prstGeom prst="rect">
                      <a:avLst/>
                    </a:prstGeom>
                    <a:ln/>
                  </pic:spPr>
                </pic:pic>
              </a:graphicData>
            </a:graphic>
          </wp:inline>
        </w:drawing>
      </w:r>
    </w:p>
    <w:p w14:paraId="318EBF27" w14:textId="77777777" w:rsidR="002B1F19" w:rsidRDefault="002B1F19">
      <w:pPr>
        <w:jc w:val="both"/>
        <w:rPr>
          <w:rFonts w:ascii="Garamond" w:eastAsia="Garamond" w:hAnsi="Garamond" w:cs="Garamond"/>
          <w:sz w:val="24"/>
          <w:szCs w:val="24"/>
        </w:rPr>
      </w:pPr>
    </w:p>
    <w:p w14:paraId="4C47F5E9" w14:textId="77777777" w:rsidR="002B1F19" w:rsidRDefault="002B1F19">
      <w:pPr>
        <w:jc w:val="both"/>
        <w:rPr>
          <w:rFonts w:ascii="Garamond" w:eastAsia="Garamond" w:hAnsi="Garamond" w:cs="Garamond"/>
          <w:sz w:val="24"/>
          <w:szCs w:val="24"/>
        </w:rPr>
      </w:pPr>
    </w:p>
    <w:p w14:paraId="7FB1D511" w14:textId="77777777" w:rsidR="002B1F19" w:rsidRDefault="002B1F19">
      <w:pPr>
        <w:jc w:val="both"/>
        <w:rPr>
          <w:rFonts w:ascii="Garamond" w:eastAsia="Garamond" w:hAnsi="Garamond" w:cs="Garamond"/>
          <w:sz w:val="24"/>
          <w:szCs w:val="24"/>
        </w:rPr>
      </w:pPr>
    </w:p>
    <w:p w14:paraId="6447DCD1" w14:textId="77777777" w:rsidR="002B1F19" w:rsidRDefault="002B1F19">
      <w:pPr>
        <w:jc w:val="both"/>
        <w:rPr>
          <w:rFonts w:ascii="Garamond" w:eastAsia="Garamond" w:hAnsi="Garamond" w:cs="Garamond"/>
          <w:sz w:val="24"/>
          <w:szCs w:val="24"/>
        </w:rPr>
      </w:pPr>
    </w:p>
    <w:p w14:paraId="33EF30A4" w14:textId="77777777" w:rsidR="002B1F19" w:rsidRDefault="002B1F19">
      <w:pPr>
        <w:jc w:val="both"/>
        <w:rPr>
          <w:rFonts w:ascii="Garamond" w:eastAsia="Garamond" w:hAnsi="Garamond" w:cs="Garamond"/>
          <w:sz w:val="24"/>
          <w:szCs w:val="24"/>
        </w:rPr>
      </w:pPr>
    </w:p>
    <w:p w14:paraId="7A29E0F0" w14:textId="77777777" w:rsidR="002B1F19" w:rsidRDefault="002B1F19">
      <w:pPr>
        <w:jc w:val="both"/>
        <w:rPr>
          <w:rFonts w:ascii="Garamond" w:eastAsia="Garamond" w:hAnsi="Garamond" w:cs="Garamond"/>
          <w:sz w:val="24"/>
          <w:szCs w:val="24"/>
        </w:rPr>
      </w:pPr>
    </w:p>
    <w:p w14:paraId="33A73D77" w14:textId="77777777" w:rsidR="002B1F19" w:rsidRDefault="002B1F19">
      <w:pPr>
        <w:jc w:val="both"/>
        <w:rPr>
          <w:rFonts w:ascii="Garamond" w:eastAsia="Garamond" w:hAnsi="Garamond" w:cs="Garamond"/>
          <w:sz w:val="24"/>
          <w:szCs w:val="24"/>
        </w:rPr>
      </w:pPr>
    </w:p>
    <w:p w14:paraId="31EDD5D3" w14:textId="77777777" w:rsidR="002B1F19" w:rsidRDefault="002B1F19">
      <w:pPr>
        <w:jc w:val="both"/>
        <w:rPr>
          <w:rFonts w:ascii="Garamond" w:eastAsia="Garamond" w:hAnsi="Garamond" w:cs="Garamond"/>
          <w:sz w:val="24"/>
          <w:szCs w:val="24"/>
        </w:rPr>
      </w:pPr>
    </w:p>
    <w:p w14:paraId="0C30C018" w14:textId="77777777" w:rsidR="002B1F19" w:rsidRDefault="002B1F19">
      <w:pPr>
        <w:jc w:val="both"/>
        <w:rPr>
          <w:rFonts w:ascii="Garamond" w:eastAsia="Garamond" w:hAnsi="Garamond" w:cs="Garamond"/>
          <w:sz w:val="24"/>
          <w:szCs w:val="24"/>
        </w:rPr>
      </w:pPr>
    </w:p>
    <w:p w14:paraId="45461449" w14:textId="77777777" w:rsidR="002B1F19" w:rsidRDefault="002B1F19">
      <w:pPr>
        <w:jc w:val="both"/>
        <w:rPr>
          <w:rFonts w:ascii="Garamond" w:eastAsia="Garamond" w:hAnsi="Garamond" w:cs="Garamond"/>
          <w:sz w:val="24"/>
          <w:szCs w:val="24"/>
        </w:rPr>
      </w:pPr>
    </w:p>
    <w:p w14:paraId="2C851DDF" w14:textId="77777777" w:rsidR="002B1F19" w:rsidRDefault="002B1F19">
      <w:pPr>
        <w:jc w:val="both"/>
        <w:rPr>
          <w:rFonts w:ascii="Garamond" w:eastAsia="Garamond" w:hAnsi="Garamond" w:cs="Garamond"/>
          <w:sz w:val="24"/>
          <w:szCs w:val="24"/>
        </w:rPr>
      </w:pPr>
    </w:p>
    <w:p w14:paraId="09D7B654" w14:textId="77777777" w:rsidR="002B1F19" w:rsidRDefault="002B1F19">
      <w:pPr>
        <w:jc w:val="both"/>
        <w:rPr>
          <w:rFonts w:ascii="Garamond" w:eastAsia="Garamond" w:hAnsi="Garamond" w:cs="Garamond"/>
          <w:sz w:val="24"/>
          <w:szCs w:val="24"/>
        </w:rPr>
      </w:pPr>
    </w:p>
    <w:p w14:paraId="337A5E7A" w14:textId="77777777" w:rsidR="002B1F19" w:rsidRDefault="002B1F19">
      <w:pPr>
        <w:jc w:val="both"/>
        <w:rPr>
          <w:rFonts w:ascii="Garamond" w:eastAsia="Garamond" w:hAnsi="Garamond" w:cs="Garamond"/>
          <w:sz w:val="24"/>
          <w:szCs w:val="24"/>
        </w:rPr>
      </w:pPr>
    </w:p>
    <w:p w14:paraId="78873D5E" w14:textId="77777777" w:rsidR="002B1F19" w:rsidRDefault="002B1F19">
      <w:pPr>
        <w:jc w:val="both"/>
        <w:rPr>
          <w:rFonts w:ascii="Garamond" w:eastAsia="Garamond" w:hAnsi="Garamond" w:cs="Garamond"/>
          <w:sz w:val="24"/>
          <w:szCs w:val="24"/>
        </w:rPr>
      </w:pPr>
    </w:p>
    <w:p w14:paraId="774A3130" w14:textId="77777777" w:rsidR="002B1F19" w:rsidRDefault="002B1F19">
      <w:pPr>
        <w:jc w:val="both"/>
        <w:rPr>
          <w:rFonts w:ascii="Garamond" w:eastAsia="Garamond" w:hAnsi="Garamond" w:cs="Garamond"/>
          <w:sz w:val="24"/>
          <w:szCs w:val="24"/>
        </w:rPr>
      </w:pPr>
    </w:p>
    <w:p w14:paraId="744DE9F5"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 xml:space="preserve">El surgimiento de Institutos en la Universidad de Caldas se enmarca en el contexto del Plan de Desarrollo (2009-2018). Al considerar el número de proyectos de investigación registrados en la VIP por los institutos, se observa un comportamiento decreciente </w:t>
      </w:r>
      <w:r>
        <w:rPr>
          <w:rFonts w:ascii="Garamond" w:eastAsia="Garamond" w:hAnsi="Garamond" w:cs="Garamond"/>
          <w:sz w:val="24"/>
          <w:szCs w:val="24"/>
        </w:rPr>
        <w:t>que podría explicarse por la falta de reporte de los mismos ante dicha instancia. Lo anterior debe conducir a formular lineamientos orientados a establecer criterios para el seguimiento y evaluación de los proyectos conforme a sus diferentes tipología y or</w:t>
      </w:r>
      <w:r>
        <w:rPr>
          <w:rFonts w:ascii="Garamond" w:eastAsia="Garamond" w:hAnsi="Garamond" w:cs="Garamond"/>
          <w:sz w:val="24"/>
          <w:szCs w:val="24"/>
        </w:rPr>
        <w:t>igen.</w:t>
      </w:r>
    </w:p>
    <w:p w14:paraId="6C154F04" w14:textId="77777777" w:rsidR="002B1F19" w:rsidRDefault="00F80E55">
      <w:pPr>
        <w:jc w:val="both"/>
        <w:rPr>
          <w:rFonts w:ascii="Garamond" w:eastAsia="Garamond" w:hAnsi="Garamond" w:cs="Garamond"/>
          <w:sz w:val="24"/>
          <w:szCs w:val="24"/>
        </w:rPr>
      </w:pPr>
      <w:r>
        <w:rPr>
          <w:rFonts w:ascii="Garamond" w:eastAsia="Garamond" w:hAnsi="Garamond" w:cs="Garamond"/>
          <w:noProof/>
          <w:sz w:val="24"/>
          <w:szCs w:val="24"/>
        </w:rPr>
        <w:lastRenderedPageBreak/>
        <w:drawing>
          <wp:inline distT="114300" distB="114300" distL="114300" distR="114300" wp14:anchorId="4298C064" wp14:editId="79199B8F">
            <wp:extent cx="5093494" cy="3144359"/>
            <wp:effectExtent l="0" t="0" r="0" b="0"/>
            <wp:docPr id="8" name="image13.png" descr="Gráfico"/>
            <wp:cNvGraphicFramePr/>
            <a:graphic xmlns:a="http://schemas.openxmlformats.org/drawingml/2006/main">
              <a:graphicData uri="http://schemas.openxmlformats.org/drawingml/2006/picture">
                <pic:pic xmlns:pic="http://schemas.openxmlformats.org/drawingml/2006/picture">
                  <pic:nvPicPr>
                    <pic:cNvPr id="0" name="image13.png" descr="Gráfico"/>
                    <pic:cNvPicPr preferRelativeResize="0"/>
                  </pic:nvPicPr>
                  <pic:blipFill>
                    <a:blip r:embed="rId19"/>
                    <a:srcRect/>
                    <a:stretch>
                      <a:fillRect/>
                    </a:stretch>
                  </pic:blipFill>
                  <pic:spPr>
                    <a:xfrm>
                      <a:off x="0" y="0"/>
                      <a:ext cx="5093494" cy="3144359"/>
                    </a:xfrm>
                    <a:prstGeom prst="rect">
                      <a:avLst/>
                    </a:prstGeom>
                    <a:ln/>
                  </pic:spPr>
                </pic:pic>
              </a:graphicData>
            </a:graphic>
          </wp:inline>
        </w:drawing>
      </w:r>
    </w:p>
    <w:p w14:paraId="088545C4" w14:textId="77777777" w:rsidR="002B1F19" w:rsidRDefault="002B1F19">
      <w:pPr>
        <w:jc w:val="both"/>
        <w:rPr>
          <w:rFonts w:ascii="Garamond" w:eastAsia="Garamond" w:hAnsi="Garamond" w:cs="Garamond"/>
          <w:sz w:val="24"/>
          <w:szCs w:val="24"/>
        </w:rPr>
      </w:pPr>
    </w:p>
    <w:p w14:paraId="7BD226AC"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La actividad investigativa en la Universidad de Caldas en el período objeto de análisis se ha caracterizado por la existencia de diferentes tipos de investigación, con una marcada preponderancia la investigación aplicada, siguiéndola en su orden l</w:t>
      </w:r>
      <w:r>
        <w:rPr>
          <w:rFonts w:ascii="Garamond" w:eastAsia="Garamond" w:hAnsi="Garamond" w:cs="Garamond"/>
          <w:sz w:val="24"/>
          <w:szCs w:val="24"/>
        </w:rPr>
        <w:t>a básica, la investigación creación y la innovación. Es pertinente resaltar que estos últimos tipos de investigación son formas emergentes que requieren de su fortalecimiento en el mediano y largo plazo. De igual manera es importante resaltar que la invest</w:t>
      </w:r>
      <w:r>
        <w:rPr>
          <w:rFonts w:ascii="Garamond" w:eastAsia="Garamond" w:hAnsi="Garamond" w:cs="Garamond"/>
          <w:sz w:val="24"/>
          <w:szCs w:val="24"/>
        </w:rPr>
        <w:t>igación básica reviste igual importancia en la generación de conocimiento lo mismo que la investigación creación y la innovación.</w:t>
      </w:r>
    </w:p>
    <w:p w14:paraId="482296B6" w14:textId="77777777" w:rsidR="002B1F19" w:rsidRDefault="002B1F19">
      <w:pPr>
        <w:jc w:val="both"/>
        <w:rPr>
          <w:rFonts w:ascii="Garamond" w:eastAsia="Garamond" w:hAnsi="Garamond" w:cs="Garamond"/>
          <w:sz w:val="24"/>
          <w:szCs w:val="24"/>
        </w:rPr>
      </w:pPr>
    </w:p>
    <w:p w14:paraId="71FC9244"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Es de destacar el importante papel que juegan las humanidades y las artes en la generación y apropiación del conocimiento y l</w:t>
      </w:r>
      <w:r>
        <w:rPr>
          <w:rFonts w:ascii="Garamond" w:eastAsia="Garamond" w:hAnsi="Garamond" w:cs="Garamond"/>
          <w:sz w:val="24"/>
          <w:szCs w:val="24"/>
        </w:rPr>
        <w:t xml:space="preserve">as potencialidades que la institución ha tenido históricamente en este campo y su especial importancia en la actualidad en un momento en el cual las disciplinas creativas ocupan un lugar destacado.  </w:t>
      </w:r>
    </w:p>
    <w:p w14:paraId="018425DB" w14:textId="77777777" w:rsidR="002B1F19" w:rsidRDefault="002B1F19">
      <w:pPr>
        <w:jc w:val="both"/>
        <w:rPr>
          <w:rFonts w:ascii="Garamond" w:eastAsia="Garamond" w:hAnsi="Garamond" w:cs="Garamond"/>
          <w:sz w:val="24"/>
          <w:szCs w:val="24"/>
        </w:rPr>
      </w:pPr>
    </w:p>
    <w:p w14:paraId="45ACEC72" w14:textId="77777777" w:rsidR="002B1F19" w:rsidRDefault="002B1F19">
      <w:pPr>
        <w:jc w:val="center"/>
        <w:rPr>
          <w:rFonts w:ascii="Garamond" w:eastAsia="Garamond" w:hAnsi="Garamond" w:cs="Garamond"/>
          <w:sz w:val="24"/>
          <w:szCs w:val="24"/>
        </w:rPr>
      </w:pPr>
    </w:p>
    <w:p w14:paraId="15F79980" w14:textId="77777777" w:rsidR="002B1F19" w:rsidRDefault="002B1F19">
      <w:pPr>
        <w:jc w:val="center"/>
        <w:rPr>
          <w:rFonts w:ascii="Garamond" w:eastAsia="Garamond" w:hAnsi="Garamond" w:cs="Garamond"/>
          <w:sz w:val="24"/>
          <w:szCs w:val="24"/>
        </w:rPr>
      </w:pPr>
    </w:p>
    <w:p w14:paraId="56C87866" w14:textId="77777777" w:rsidR="002B1F19" w:rsidRDefault="002B1F19">
      <w:pPr>
        <w:jc w:val="both"/>
        <w:rPr>
          <w:rFonts w:ascii="Garamond" w:eastAsia="Garamond" w:hAnsi="Garamond" w:cs="Garamond"/>
          <w:i/>
          <w:sz w:val="24"/>
          <w:szCs w:val="24"/>
        </w:rPr>
      </w:pPr>
    </w:p>
    <w:p w14:paraId="63BFC408" w14:textId="77777777" w:rsidR="002B1F19" w:rsidRDefault="002B1F19">
      <w:pPr>
        <w:jc w:val="both"/>
        <w:rPr>
          <w:rFonts w:ascii="Garamond" w:eastAsia="Garamond" w:hAnsi="Garamond" w:cs="Garamond"/>
          <w:i/>
          <w:sz w:val="24"/>
          <w:szCs w:val="24"/>
        </w:rPr>
      </w:pPr>
    </w:p>
    <w:p w14:paraId="4ED06516" w14:textId="77777777" w:rsidR="002B1F19" w:rsidRDefault="002B1F19">
      <w:pPr>
        <w:jc w:val="both"/>
        <w:rPr>
          <w:rFonts w:ascii="Garamond" w:eastAsia="Garamond" w:hAnsi="Garamond" w:cs="Garamond"/>
          <w:i/>
          <w:sz w:val="24"/>
          <w:szCs w:val="24"/>
        </w:rPr>
      </w:pPr>
    </w:p>
    <w:p w14:paraId="2BC2D256" w14:textId="77777777" w:rsidR="002B1F19" w:rsidRDefault="00F80E55">
      <w:pPr>
        <w:jc w:val="center"/>
        <w:rPr>
          <w:rFonts w:ascii="Garamond" w:eastAsia="Garamond" w:hAnsi="Garamond" w:cs="Garamond"/>
          <w:i/>
          <w:sz w:val="24"/>
          <w:szCs w:val="24"/>
        </w:rPr>
      </w:pPr>
      <w:r>
        <w:rPr>
          <w:rFonts w:ascii="Garamond" w:eastAsia="Garamond" w:hAnsi="Garamond" w:cs="Garamond"/>
          <w:i/>
          <w:noProof/>
          <w:sz w:val="24"/>
          <w:szCs w:val="24"/>
        </w:rPr>
        <w:lastRenderedPageBreak/>
        <w:drawing>
          <wp:inline distT="114300" distB="114300" distL="114300" distR="114300" wp14:anchorId="6671B7FB" wp14:editId="33ABFBEA">
            <wp:extent cx="4741069" cy="2926264"/>
            <wp:effectExtent l="0" t="0" r="0" b="0"/>
            <wp:docPr id="13" name="image28.png" descr="Gráfico"/>
            <wp:cNvGraphicFramePr/>
            <a:graphic xmlns:a="http://schemas.openxmlformats.org/drawingml/2006/main">
              <a:graphicData uri="http://schemas.openxmlformats.org/drawingml/2006/picture">
                <pic:pic xmlns:pic="http://schemas.openxmlformats.org/drawingml/2006/picture">
                  <pic:nvPicPr>
                    <pic:cNvPr id="0" name="image28.png" descr="Gráfico"/>
                    <pic:cNvPicPr preferRelativeResize="0"/>
                  </pic:nvPicPr>
                  <pic:blipFill>
                    <a:blip r:embed="rId20"/>
                    <a:srcRect/>
                    <a:stretch>
                      <a:fillRect/>
                    </a:stretch>
                  </pic:blipFill>
                  <pic:spPr>
                    <a:xfrm>
                      <a:off x="0" y="0"/>
                      <a:ext cx="4741069" cy="2926264"/>
                    </a:xfrm>
                    <a:prstGeom prst="rect">
                      <a:avLst/>
                    </a:prstGeom>
                    <a:ln/>
                  </pic:spPr>
                </pic:pic>
              </a:graphicData>
            </a:graphic>
          </wp:inline>
        </w:drawing>
      </w:r>
    </w:p>
    <w:p w14:paraId="6C0C02CF" w14:textId="77777777" w:rsidR="002B1F19" w:rsidRDefault="002B1F19">
      <w:pPr>
        <w:jc w:val="both"/>
        <w:rPr>
          <w:rFonts w:ascii="Garamond" w:eastAsia="Garamond" w:hAnsi="Garamond" w:cs="Garamond"/>
          <w:i/>
          <w:sz w:val="24"/>
          <w:szCs w:val="24"/>
        </w:rPr>
      </w:pPr>
    </w:p>
    <w:p w14:paraId="23D4A9AD"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 xml:space="preserve">Como observa en la gráfica entre el año 2009 y </w:t>
      </w:r>
      <w:r>
        <w:rPr>
          <w:rFonts w:ascii="Garamond" w:eastAsia="Garamond" w:hAnsi="Garamond" w:cs="Garamond"/>
          <w:sz w:val="24"/>
          <w:szCs w:val="24"/>
        </w:rPr>
        <w:t>2018 se presenta una disminución de la investigación básica y un incremento significativo de la investigación aplicada. También cabe destacar la emergencia de la investigación creación y de la innovación cuyo comportamiento evidencia la necesidad de fortal</w:t>
      </w:r>
      <w:r>
        <w:rPr>
          <w:rFonts w:ascii="Garamond" w:eastAsia="Garamond" w:hAnsi="Garamond" w:cs="Garamond"/>
          <w:sz w:val="24"/>
          <w:szCs w:val="24"/>
        </w:rPr>
        <w:t xml:space="preserve">ecer institucionalmente estos tipos de investigación.  </w:t>
      </w:r>
    </w:p>
    <w:p w14:paraId="307E09AC" w14:textId="77777777" w:rsidR="002B1F19" w:rsidRDefault="00F80E55">
      <w:pPr>
        <w:jc w:val="center"/>
        <w:rPr>
          <w:rFonts w:ascii="Garamond" w:eastAsia="Garamond" w:hAnsi="Garamond" w:cs="Garamond"/>
          <w:i/>
          <w:sz w:val="24"/>
          <w:szCs w:val="24"/>
        </w:rPr>
      </w:pPr>
      <w:r>
        <w:rPr>
          <w:rFonts w:ascii="Garamond" w:eastAsia="Garamond" w:hAnsi="Garamond" w:cs="Garamond"/>
          <w:i/>
          <w:noProof/>
          <w:sz w:val="24"/>
          <w:szCs w:val="24"/>
        </w:rPr>
        <w:drawing>
          <wp:inline distT="114300" distB="114300" distL="114300" distR="114300" wp14:anchorId="67EC10C7" wp14:editId="664C9B26">
            <wp:extent cx="5950744" cy="3677204"/>
            <wp:effectExtent l="0" t="0" r="0" b="0"/>
            <wp:docPr id="3" name="image5.png" descr="Gráfico"/>
            <wp:cNvGraphicFramePr/>
            <a:graphic xmlns:a="http://schemas.openxmlformats.org/drawingml/2006/main">
              <a:graphicData uri="http://schemas.openxmlformats.org/drawingml/2006/picture">
                <pic:pic xmlns:pic="http://schemas.openxmlformats.org/drawingml/2006/picture">
                  <pic:nvPicPr>
                    <pic:cNvPr id="0" name="image5.png" descr="Gráfico"/>
                    <pic:cNvPicPr preferRelativeResize="0"/>
                  </pic:nvPicPr>
                  <pic:blipFill>
                    <a:blip r:embed="rId21"/>
                    <a:srcRect/>
                    <a:stretch>
                      <a:fillRect/>
                    </a:stretch>
                  </pic:blipFill>
                  <pic:spPr>
                    <a:xfrm>
                      <a:off x="0" y="0"/>
                      <a:ext cx="5950744" cy="3677204"/>
                    </a:xfrm>
                    <a:prstGeom prst="rect">
                      <a:avLst/>
                    </a:prstGeom>
                    <a:ln/>
                  </pic:spPr>
                </pic:pic>
              </a:graphicData>
            </a:graphic>
          </wp:inline>
        </w:drawing>
      </w:r>
    </w:p>
    <w:p w14:paraId="6E45CB52" w14:textId="77777777" w:rsidR="002B1F19" w:rsidRDefault="002B1F19">
      <w:pPr>
        <w:jc w:val="both"/>
        <w:rPr>
          <w:rFonts w:ascii="Garamond" w:eastAsia="Garamond" w:hAnsi="Garamond" w:cs="Garamond"/>
          <w:i/>
          <w:sz w:val="24"/>
          <w:szCs w:val="24"/>
        </w:rPr>
      </w:pPr>
    </w:p>
    <w:p w14:paraId="0695FFB4" w14:textId="77777777" w:rsidR="002B1F19" w:rsidRDefault="002B1F19">
      <w:pPr>
        <w:jc w:val="center"/>
        <w:rPr>
          <w:rFonts w:ascii="Garamond" w:eastAsia="Garamond" w:hAnsi="Garamond" w:cs="Garamond"/>
          <w:i/>
          <w:sz w:val="24"/>
          <w:szCs w:val="24"/>
        </w:rPr>
      </w:pPr>
    </w:p>
    <w:p w14:paraId="437F5A0F" w14:textId="77777777" w:rsidR="002B1F19" w:rsidRDefault="002B1F19">
      <w:pPr>
        <w:jc w:val="both"/>
        <w:rPr>
          <w:rFonts w:ascii="Garamond" w:eastAsia="Garamond" w:hAnsi="Garamond" w:cs="Garamond"/>
          <w:i/>
          <w:sz w:val="24"/>
          <w:szCs w:val="24"/>
        </w:rPr>
      </w:pPr>
    </w:p>
    <w:p w14:paraId="07AEB7BC" w14:textId="77777777" w:rsidR="002B1F19" w:rsidRDefault="002B1F19">
      <w:pPr>
        <w:jc w:val="both"/>
        <w:rPr>
          <w:rFonts w:ascii="Garamond" w:eastAsia="Garamond" w:hAnsi="Garamond" w:cs="Garamond"/>
          <w:sz w:val="24"/>
          <w:szCs w:val="24"/>
        </w:rPr>
      </w:pPr>
    </w:p>
    <w:p w14:paraId="54CB694F"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 xml:space="preserve">Al considerar el número de proyectos de investigación inscritos según el tipo de vinculación docente se registra una mayor participación de los docentes de planta, lo cual se explica por las </w:t>
      </w:r>
      <w:r>
        <w:rPr>
          <w:rFonts w:ascii="Garamond" w:eastAsia="Garamond" w:hAnsi="Garamond" w:cs="Garamond"/>
          <w:sz w:val="24"/>
          <w:szCs w:val="24"/>
        </w:rPr>
        <w:lastRenderedPageBreak/>
        <w:t>condiciones particulares de los docentes en términos de la contra</w:t>
      </w:r>
      <w:r>
        <w:rPr>
          <w:rFonts w:ascii="Garamond" w:eastAsia="Garamond" w:hAnsi="Garamond" w:cs="Garamond"/>
          <w:sz w:val="24"/>
          <w:szCs w:val="24"/>
        </w:rPr>
        <w:t xml:space="preserve">tación. No obstante es necesario estimular la vinculación de los profesores ocasionales a procesos de investigación a través de diferentes estrategias. </w:t>
      </w:r>
    </w:p>
    <w:p w14:paraId="1A93D684" w14:textId="77777777" w:rsidR="002B1F19" w:rsidRDefault="002B1F19">
      <w:pPr>
        <w:jc w:val="both"/>
        <w:rPr>
          <w:rFonts w:ascii="Garamond" w:eastAsia="Garamond" w:hAnsi="Garamond" w:cs="Garamond"/>
          <w:sz w:val="24"/>
          <w:szCs w:val="24"/>
        </w:rPr>
      </w:pPr>
    </w:p>
    <w:p w14:paraId="34993F20" w14:textId="77777777" w:rsidR="002B1F19" w:rsidRDefault="00F80E55">
      <w:pPr>
        <w:jc w:val="center"/>
        <w:rPr>
          <w:rFonts w:ascii="Garamond" w:eastAsia="Garamond" w:hAnsi="Garamond" w:cs="Garamond"/>
          <w:sz w:val="24"/>
          <w:szCs w:val="24"/>
        </w:rPr>
      </w:pPr>
      <w:r>
        <w:rPr>
          <w:rFonts w:ascii="Garamond" w:eastAsia="Garamond" w:hAnsi="Garamond" w:cs="Garamond"/>
          <w:noProof/>
          <w:sz w:val="24"/>
          <w:szCs w:val="24"/>
        </w:rPr>
        <w:drawing>
          <wp:inline distT="114300" distB="114300" distL="114300" distR="114300" wp14:anchorId="23E9007C" wp14:editId="3CC45C4E">
            <wp:extent cx="4688681" cy="2897325"/>
            <wp:effectExtent l="0" t="0" r="0" b="0"/>
            <wp:docPr id="20" name="image1.png" descr="Gráfico"/>
            <wp:cNvGraphicFramePr/>
            <a:graphic xmlns:a="http://schemas.openxmlformats.org/drawingml/2006/main">
              <a:graphicData uri="http://schemas.openxmlformats.org/drawingml/2006/picture">
                <pic:pic xmlns:pic="http://schemas.openxmlformats.org/drawingml/2006/picture">
                  <pic:nvPicPr>
                    <pic:cNvPr id="0" name="image1.png" descr="Gráfico"/>
                    <pic:cNvPicPr preferRelativeResize="0"/>
                  </pic:nvPicPr>
                  <pic:blipFill>
                    <a:blip r:embed="rId22"/>
                    <a:srcRect/>
                    <a:stretch>
                      <a:fillRect/>
                    </a:stretch>
                  </pic:blipFill>
                  <pic:spPr>
                    <a:xfrm>
                      <a:off x="0" y="0"/>
                      <a:ext cx="4688681" cy="2897325"/>
                    </a:xfrm>
                    <a:prstGeom prst="rect">
                      <a:avLst/>
                    </a:prstGeom>
                    <a:ln/>
                  </pic:spPr>
                </pic:pic>
              </a:graphicData>
            </a:graphic>
          </wp:inline>
        </w:drawing>
      </w:r>
    </w:p>
    <w:p w14:paraId="761778CD"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 xml:space="preserve">Con relación a la participación de los docentes en proyectos de investigación inscritos, según género, se obtiene que durante el período la participación de los hombres fue del 58,3%, mientras que la participación de las mujeres fue del 41,7%. Al respecto </w:t>
      </w:r>
      <w:r>
        <w:rPr>
          <w:rFonts w:ascii="Garamond" w:eastAsia="Garamond" w:hAnsi="Garamond" w:cs="Garamond"/>
          <w:sz w:val="24"/>
          <w:szCs w:val="24"/>
        </w:rPr>
        <w:t xml:space="preserve">cabe señalar que dicho comportamiento es variable en el tiempo y que la participación de ambos géneros es diferencial. Frente a esta situación es necesario visibilizar con mayor contundencia qué actores llevan la investigación y cuáles son las condiciones </w:t>
      </w:r>
      <w:r>
        <w:rPr>
          <w:rFonts w:ascii="Garamond" w:eastAsia="Garamond" w:hAnsi="Garamond" w:cs="Garamond"/>
          <w:sz w:val="24"/>
          <w:szCs w:val="24"/>
        </w:rPr>
        <w:t xml:space="preserve">para llevarla a cabo. </w:t>
      </w:r>
    </w:p>
    <w:p w14:paraId="7D8249EE" w14:textId="77777777" w:rsidR="002B1F19" w:rsidRDefault="00F80E55">
      <w:pPr>
        <w:jc w:val="center"/>
        <w:rPr>
          <w:rFonts w:ascii="Garamond" w:eastAsia="Garamond" w:hAnsi="Garamond" w:cs="Garamond"/>
          <w:sz w:val="24"/>
          <w:szCs w:val="24"/>
        </w:rPr>
      </w:pPr>
      <w:r>
        <w:rPr>
          <w:rFonts w:ascii="Garamond" w:eastAsia="Garamond" w:hAnsi="Garamond" w:cs="Garamond"/>
          <w:noProof/>
          <w:sz w:val="24"/>
          <w:szCs w:val="24"/>
        </w:rPr>
        <w:drawing>
          <wp:inline distT="114300" distB="114300" distL="114300" distR="114300" wp14:anchorId="5415EC35" wp14:editId="68139F38">
            <wp:extent cx="4890127" cy="3021806"/>
            <wp:effectExtent l="0" t="0" r="0" b="0"/>
            <wp:docPr id="7" name="image4.png" descr="Gráfico"/>
            <wp:cNvGraphicFramePr/>
            <a:graphic xmlns:a="http://schemas.openxmlformats.org/drawingml/2006/main">
              <a:graphicData uri="http://schemas.openxmlformats.org/drawingml/2006/picture">
                <pic:pic xmlns:pic="http://schemas.openxmlformats.org/drawingml/2006/picture">
                  <pic:nvPicPr>
                    <pic:cNvPr id="0" name="image4.png" descr="Gráfico"/>
                    <pic:cNvPicPr preferRelativeResize="0"/>
                  </pic:nvPicPr>
                  <pic:blipFill>
                    <a:blip r:embed="rId23"/>
                    <a:srcRect/>
                    <a:stretch>
                      <a:fillRect/>
                    </a:stretch>
                  </pic:blipFill>
                  <pic:spPr>
                    <a:xfrm>
                      <a:off x="0" y="0"/>
                      <a:ext cx="4890127" cy="3021806"/>
                    </a:xfrm>
                    <a:prstGeom prst="rect">
                      <a:avLst/>
                    </a:prstGeom>
                    <a:ln/>
                  </pic:spPr>
                </pic:pic>
              </a:graphicData>
            </a:graphic>
          </wp:inline>
        </w:drawing>
      </w:r>
    </w:p>
    <w:p w14:paraId="0A5B1A3D" w14:textId="77777777" w:rsidR="002B1F19" w:rsidRDefault="002B1F19">
      <w:pPr>
        <w:jc w:val="center"/>
        <w:rPr>
          <w:rFonts w:ascii="Garamond" w:eastAsia="Garamond" w:hAnsi="Garamond" w:cs="Garamond"/>
          <w:sz w:val="24"/>
          <w:szCs w:val="24"/>
        </w:rPr>
      </w:pPr>
    </w:p>
    <w:p w14:paraId="640A437D" w14:textId="77777777" w:rsidR="002B1F19" w:rsidRDefault="002B1F19">
      <w:pPr>
        <w:jc w:val="both"/>
        <w:rPr>
          <w:rFonts w:ascii="Garamond" w:eastAsia="Garamond" w:hAnsi="Garamond" w:cs="Garamond"/>
          <w:i/>
          <w:sz w:val="24"/>
          <w:szCs w:val="24"/>
        </w:rPr>
      </w:pPr>
    </w:p>
    <w:p w14:paraId="78CC0E7D" w14:textId="77777777" w:rsidR="002B1F19" w:rsidRDefault="00F80E55">
      <w:pPr>
        <w:jc w:val="both"/>
        <w:rPr>
          <w:rFonts w:ascii="Garamond" w:eastAsia="Garamond" w:hAnsi="Garamond" w:cs="Garamond"/>
          <w:i/>
          <w:sz w:val="24"/>
          <w:szCs w:val="24"/>
        </w:rPr>
      </w:pPr>
      <w:r>
        <w:rPr>
          <w:rFonts w:ascii="Garamond" w:eastAsia="Garamond" w:hAnsi="Garamond" w:cs="Garamond"/>
          <w:i/>
          <w:sz w:val="24"/>
          <w:szCs w:val="24"/>
        </w:rPr>
        <w:t xml:space="preserve">b. Fuentes de financiación de la investigación </w:t>
      </w:r>
    </w:p>
    <w:p w14:paraId="4754C9D2" w14:textId="77777777" w:rsidR="002B1F19" w:rsidRDefault="002B1F19">
      <w:pPr>
        <w:jc w:val="both"/>
        <w:rPr>
          <w:rFonts w:ascii="Garamond" w:eastAsia="Garamond" w:hAnsi="Garamond" w:cs="Garamond"/>
          <w:i/>
          <w:sz w:val="24"/>
          <w:szCs w:val="24"/>
        </w:rPr>
      </w:pPr>
    </w:p>
    <w:p w14:paraId="1ACF533C" w14:textId="77777777" w:rsidR="002B1F19" w:rsidRDefault="00F80E55">
      <w:pPr>
        <w:jc w:val="both"/>
        <w:rPr>
          <w:rFonts w:ascii="Garamond" w:eastAsia="Garamond" w:hAnsi="Garamond" w:cs="Garamond"/>
          <w:i/>
          <w:sz w:val="24"/>
          <w:szCs w:val="24"/>
        </w:rPr>
      </w:pPr>
      <w:r>
        <w:rPr>
          <w:rFonts w:ascii="Garamond" w:eastAsia="Garamond" w:hAnsi="Garamond" w:cs="Garamond"/>
          <w:i/>
          <w:noProof/>
          <w:sz w:val="24"/>
          <w:szCs w:val="24"/>
        </w:rPr>
        <w:lastRenderedPageBreak/>
        <w:drawing>
          <wp:inline distT="114300" distB="114300" distL="114300" distR="114300" wp14:anchorId="53D00BBF" wp14:editId="6F5F8782">
            <wp:extent cx="5734050" cy="3187700"/>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734050" cy="3187700"/>
                    </a:xfrm>
                    <a:prstGeom prst="rect">
                      <a:avLst/>
                    </a:prstGeom>
                    <a:ln/>
                  </pic:spPr>
                </pic:pic>
              </a:graphicData>
            </a:graphic>
          </wp:inline>
        </w:drawing>
      </w:r>
    </w:p>
    <w:p w14:paraId="1EB8E563" w14:textId="77777777" w:rsidR="002B1F19" w:rsidRDefault="00F80E55">
      <w:pPr>
        <w:jc w:val="both"/>
        <w:rPr>
          <w:rFonts w:ascii="Garamond" w:eastAsia="Garamond" w:hAnsi="Garamond" w:cs="Garamond"/>
          <w:i/>
          <w:sz w:val="24"/>
          <w:szCs w:val="24"/>
        </w:rPr>
      </w:pPr>
      <w:r>
        <w:rPr>
          <w:rFonts w:ascii="Garamond" w:eastAsia="Garamond" w:hAnsi="Garamond" w:cs="Garamond"/>
          <w:i/>
          <w:noProof/>
          <w:sz w:val="24"/>
          <w:szCs w:val="24"/>
        </w:rPr>
        <w:drawing>
          <wp:inline distT="114300" distB="114300" distL="114300" distR="114300" wp14:anchorId="3EDE805C" wp14:editId="78EF2641">
            <wp:extent cx="6522244" cy="4030828"/>
            <wp:effectExtent l="0" t="0" r="0" b="0"/>
            <wp:docPr id="19" name="image12.png" descr="Gráfico"/>
            <wp:cNvGraphicFramePr/>
            <a:graphic xmlns:a="http://schemas.openxmlformats.org/drawingml/2006/main">
              <a:graphicData uri="http://schemas.openxmlformats.org/drawingml/2006/picture">
                <pic:pic xmlns:pic="http://schemas.openxmlformats.org/drawingml/2006/picture">
                  <pic:nvPicPr>
                    <pic:cNvPr id="0" name="image12.png" descr="Gráfico"/>
                    <pic:cNvPicPr preferRelativeResize="0"/>
                  </pic:nvPicPr>
                  <pic:blipFill>
                    <a:blip r:embed="rId24"/>
                    <a:srcRect/>
                    <a:stretch>
                      <a:fillRect/>
                    </a:stretch>
                  </pic:blipFill>
                  <pic:spPr>
                    <a:xfrm>
                      <a:off x="0" y="0"/>
                      <a:ext cx="6522244" cy="4030828"/>
                    </a:xfrm>
                    <a:prstGeom prst="rect">
                      <a:avLst/>
                    </a:prstGeom>
                    <a:ln/>
                  </pic:spPr>
                </pic:pic>
              </a:graphicData>
            </a:graphic>
          </wp:inline>
        </w:drawing>
      </w:r>
    </w:p>
    <w:p w14:paraId="3644D078" w14:textId="77777777" w:rsidR="002B1F19" w:rsidRDefault="00F80E55">
      <w:pPr>
        <w:jc w:val="both"/>
        <w:rPr>
          <w:rFonts w:ascii="Garamond" w:eastAsia="Garamond" w:hAnsi="Garamond" w:cs="Garamond"/>
          <w:sz w:val="24"/>
          <w:szCs w:val="24"/>
          <w:highlight w:val="red"/>
        </w:rPr>
      </w:pPr>
      <w:r>
        <w:rPr>
          <w:rFonts w:ascii="Garamond" w:eastAsia="Garamond" w:hAnsi="Garamond" w:cs="Garamond"/>
          <w:sz w:val="24"/>
          <w:szCs w:val="24"/>
          <w:highlight w:val="red"/>
        </w:rPr>
        <w:t>Falta análisis</w:t>
      </w:r>
    </w:p>
    <w:p w14:paraId="08FE6CB4"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A pesar del incremento y la diversificación de las fuentes de financiamiento orientadas a la investigación, en algunos de los grupos focales se expresa la inexis</w:t>
      </w:r>
      <w:r>
        <w:rPr>
          <w:rFonts w:ascii="Garamond" w:eastAsia="Garamond" w:hAnsi="Garamond" w:cs="Garamond"/>
          <w:sz w:val="24"/>
          <w:szCs w:val="24"/>
        </w:rPr>
        <w:t>tencia de “políticas estructurales” que permitan el fortalecimiento de la investigación (TPEE). En relación al presupuesto orientado a investigación se considera que “faltan recursos para la investigación”, que el presupuesto es “precario” (TES2), mientras</w:t>
      </w:r>
      <w:r>
        <w:rPr>
          <w:rFonts w:ascii="Garamond" w:eastAsia="Garamond" w:hAnsi="Garamond" w:cs="Garamond"/>
          <w:sz w:val="24"/>
          <w:szCs w:val="24"/>
        </w:rPr>
        <w:t xml:space="preserve"> que otros manifiestan que es insuficiente  y que, por tanto, dicha actividad presenta serias restricciones en cuanto a “logística, laboratorios, espacios físicos y recursos” (GFEX-INV, A3ES27). Lo anterior para algunos contrasta con la intención de una </w:t>
      </w:r>
      <w:r>
        <w:rPr>
          <w:rFonts w:ascii="Garamond" w:eastAsia="Garamond" w:hAnsi="Garamond" w:cs="Garamond"/>
          <w:sz w:val="24"/>
          <w:szCs w:val="24"/>
        </w:rPr>
        <w:lastRenderedPageBreak/>
        <w:t>Un</w:t>
      </w:r>
      <w:r>
        <w:rPr>
          <w:rFonts w:ascii="Garamond" w:eastAsia="Garamond" w:hAnsi="Garamond" w:cs="Garamond"/>
          <w:sz w:val="24"/>
          <w:szCs w:val="24"/>
        </w:rPr>
        <w:t>iversidad “que quiere ser parte de la elite investigativa, pero no hay la forma. No hay espacios para investigar” (GFP2).</w:t>
      </w:r>
    </w:p>
    <w:p w14:paraId="239CF874" w14:textId="77777777" w:rsidR="002B1F19" w:rsidRDefault="002B1F19">
      <w:pPr>
        <w:jc w:val="both"/>
        <w:rPr>
          <w:rFonts w:ascii="Garamond" w:eastAsia="Garamond" w:hAnsi="Garamond" w:cs="Garamond"/>
          <w:sz w:val="24"/>
          <w:szCs w:val="24"/>
        </w:rPr>
      </w:pPr>
    </w:p>
    <w:p w14:paraId="57F4436B"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A esta situación se suma la atomización de la misma, dado que “no hay unión”, “se trabaja de manera individual”, “no hay hermandad en</w:t>
      </w:r>
      <w:r>
        <w:rPr>
          <w:rFonts w:ascii="Garamond" w:eastAsia="Garamond" w:hAnsi="Garamond" w:cs="Garamond"/>
          <w:sz w:val="24"/>
          <w:szCs w:val="24"/>
        </w:rPr>
        <w:t>tre las carreras” (A3ES27). “La investigación debe ser fundamental, debe de haber mucho más apoyo, muchos más recursos” (A3ES27). Para otros “la investigación sólo responde al interés personal (no hay propósito institucional) y es un esfuerzo individual” (</w:t>
      </w:r>
      <w:r>
        <w:rPr>
          <w:rFonts w:ascii="Garamond" w:eastAsia="Garamond" w:hAnsi="Garamond" w:cs="Garamond"/>
          <w:sz w:val="24"/>
          <w:szCs w:val="24"/>
        </w:rPr>
        <w:t>GFEX-INV). Respecto a esta situación, se propone crear programas de investigación donde se puedan integrar diferente actores (DOFA Eg. Ciencias Exactas).</w:t>
      </w:r>
    </w:p>
    <w:p w14:paraId="50CB5270" w14:textId="77777777" w:rsidR="002B1F19" w:rsidRDefault="00F80E55">
      <w:pPr>
        <w:jc w:val="both"/>
        <w:rPr>
          <w:sz w:val="24"/>
          <w:szCs w:val="24"/>
        </w:rPr>
      </w:pPr>
      <w:r>
        <w:rPr>
          <w:rFonts w:ascii="Garamond" w:eastAsia="Garamond" w:hAnsi="Garamond" w:cs="Garamond"/>
          <w:sz w:val="24"/>
          <w:szCs w:val="24"/>
        </w:rPr>
        <w:t xml:space="preserve"> </w:t>
      </w:r>
    </w:p>
    <w:p w14:paraId="2326621D" w14:textId="77777777" w:rsidR="002B1F19" w:rsidRDefault="00F80E55">
      <w:pPr>
        <w:jc w:val="both"/>
        <w:rPr>
          <w:sz w:val="24"/>
          <w:szCs w:val="24"/>
        </w:rPr>
      </w:pPr>
      <w:r>
        <w:rPr>
          <w:rFonts w:ascii="Garamond" w:eastAsia="Garamond" w:hAnsi="Garamond" w:cs="Garamond"/>
          <w:sz w:val="24"/>
          <w:szCs w:val="24"/>
        </w:rPr>
        <w:t>Con relación a la investigación, también se manifestó la inexistencia de “acompañamiento para la ges</w:t>
      </w:r>
      <w:r>
        <w:rPr>
          <w:rFonts w:ascii="Garamond" w:eastAsia="Garamond" w:hAnsi="Garamond" w:cs="Garamond"/>
          <w:sz w:val="24"/>
          <w:szCs w:val="24"/>
        </w:rPr>
        <w:t xml:space="preserve">tión de la misma” (GFEX-INV) y la falta de “seguimiento a proyectos investigativos” (GFEX-INV) </w:t>
      </w:r>
      <w:r>
        <w:rPr>
          <w:sz w:val="24"/>
          <w:szCs w:val="24"/>
        </w:rPr>
        <w:t xml:space="preserve">  </w:t>
      </w:r>
    </w:p>
    <w:p w14:paraId="128EBAB2" w14:textId="77777777" w:rsidR="002B1F19" w:rsidRDefault="002B1F19">
      <w:pPr>
        <w:jc w:val="both"/>
        <w:rPr>
          <w:sz w:val="24"/>
          <w:szCs w:val="24"/>
        </w:rPr>
      </w:pPr>
    </w:p>
    <w:p w14:paraId="089CEF12" w14:textId="77777777" w:rsidR="002B1F19" w:rsidRDefault="00F80E55">
      <w:pPr>
        <w:jc w:val="both"/>
        <w:rPr>
          <w:sz w:val="24"/>
          <w:szCs w:val="24"/>
        </w:rPr>
      </w:pPr>
      <w:r>
        <w:rPr>
          <w:rFonts w:ascii="Garamond" w:eastAsia="Garamond" w:hAnsi="Garamond" w:cs="Garamond"/>
          <w:sz w:val="24"/>
          <w:szCs w:val="24"/>
        </w:rPr>
        <w:t>En lo que atañe al impacto de esta en el ámbito nacional y regional algunos estiman que este es “insuficiente”, aunque se aproxima a una “estrategia de inves</w:t>
      </w:r>
      <w:r>
        <w:rPr>
          <w:rFonts w:ascii="Garamond" w:eastAsia="Garamond" w:hAnsi="Garamond" w:cs="Garamond"/>
          <w:sz w:val="24"/>
          <w:szCs w:val="24"/>
        </w:rPr>
        <w:t>tigación” (GFEX-INV). Un factor que podría explicar el limitado impacto de la investigación, alude a que la investigación se “cimenta en disciplinas, pero no en problemas” (GFEX-INV). Dada la situación anterior, algunos proponen analizar el “rol de la Univ</w:t>
      </w:r>
      <w:r>
        <w:rPr>
          <w:rFonts w:ascii="Garamond" w:eastAsia="Garamond" w:hAnsi="Garamond" w:cs="Garamond"/>
          <w:sz w:val="24"/>
          <w:szCs w:val="24"/>
        </w:rPr>
        <w:t xml:space="preserve">ersidad en la sociales” a lo que agregan realizar un “balance entre requerimiento de investigación en el país y la cienciometría” (GFEX-INV)  </w:t>
      </w:r>
    </w:p>
    <w:p w14:paraId="078C460E" w14:textId="77777777" w:rsidR="002B1F19" w:rsidRDefault="002B1F19">
      <w:pPr>
        <w:jc w:val="both"/>
        <w:rPr>
          <w:sz w:val="24"/>
          <w:szCs w:val="24"/>
        </w:rPr>
      </w:pPr>
    </w:p>
    <w:p w14:paraId="2B6849A0"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En síntesis, la Universidad se percibe por algunos como una Universidad competitiva en investigación (A1ES49), c</w:t>
      </w:r>
      <w:r>
        <w:rPr>
          <w:rFonts w:ascii="Garamond" w:eastAsia="Garamond" w:hAnsi="Garamond" w:cs="Garamond"/>
          <w:sz w:val="24"/>
          <w:szCs w:val="24"/>
        </w:rPr>
        <w:t>omo una Universidad investigativa e investigadora (GFP1) como “una [Universidad] de mediana complejidad en tránsito a mayor complejidad, donde hay pregrado más investigación de alto nivel y en contacto con sociedad” (GFP1). Para otros continuamos siendo un</w:t>
      </w:r>
      <w:r>
        <w:rPr>
          <w:rFonts w:ascii="Garamond" w:eastAsia="Garamond" w:hAnsi="Garamond" w:cs="Garamond"/>
          <w:sz w:val="24"/>
          <w:szCs w:val="24"/>
        </w:rPr>
        <w:t>a “Universidad de docencia” (GFEX-INV). Una Universidad orientada a la investigación requiere de la formación de recurso humano de investigadores de alto nivel, especialmente de doctores. Para algunos de los participantes la Universidad ofrece “pocas oport</w:t>
      </w:r>
      <w:r>
        <w:rPr>
          <w:rFonts w:ascii="Garamond" w:eastAsia="Garamond" w:hAnsi="Garamond" w:cs="Garamond"/>
          <w:sz w:val="24"/>
          <w:szCs w:val="24"/>
        </w:rPr>
        <w:t>unidades para continuar con formación en posgrados” (TES2), mientras que otros sugieren, por el contrario, revisar el “número de horas que los doctores dedican a investigación” y el “impacto de publicación de nuevos doctores”  (GFEX-INV)</w:t>
      </w:r>
    </w:p>
    <w:p w14:paraId="5ADD3DFD" w14:textId="77777777" w:rsidR="002B1F19" w:rsidRDefault="002B1F19">
      <w:pPr>
        <w:jc w:val="both"/>
        <w:rPr>
          <w:sz w:val="24"/>
          <w:szCs w:val="24"/>
        </w:rPr>
      </w:pPr>
    </w:p>
    <w:p w14:paraId="749FFBF5"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Otros la perciben</w:t>
      </w:r>
      <w:r>
        <w:rPr>
          <w:rFonts w:ascii="Garamond" w:eastAsia="Garamond" w:hAnsi="Garamond" w:cs="Garamond"/>
          <w:sz w:val="24"/>
          <w:szCs w:val="24"/>
        </w:rPr>
        <w:t xml:space="preserve"> “rezagada en investigación y en convenios docencia-servicio” (A4ES23) y con necesidad de “generar redes de investigación” (GFP1). Finalmente, hay quienes la consideran una “buena [Universidad] pero podría mejorar y aumentar la investigación” (A4ES95) que </w:t>
      </w:r>
      <w:r>
        <w:rPr>
          <w:rFonts w:ascii="Garamond" w:eastAsia="Garamond" w:hAnsi="Garamond" w:cs="Garamond"/>
          <w:sz w:val="24"/>
          <w:szCs w:val="24"/>
        </w:rPr>
        <w:t>requiere “contribuir más al desarrollo de proyectos de investigación y apoyar a los estudiantes investigadores” (A2ES58)</w:t>
      </w:r>
    </w:p>
    <w:p w14:paraId="3891D92B" w14:textId="77777777" w:rsidR="002B1F19" w:rsidRDefault="00F80E55">
      <w:pPr>
        <w:jc w:val="both"/>
        <w:rPr>
          <w:sz w:val="24"/>
          <w:szCs w:val="24"/>
        </w:rPr>
      </w:pPr>
      <w:r>
        <w:rPr>
          <w:sz w:val="24"/>
          <w:szCs w:val="24"/>
        </w:rPr>
        <w:t xml:space="preserve">  </w:t>
      </w:r>
    </w:p>
    <w:p w14:paraId="4E452781" w14:textId="77777777" w:rsidR="002B1F19" w:rsidRDefault="002B1F19">
      <w:pPr>
        <w:jc w:val="both"/>
        <w:rPr>
          <w:rFonts w:ascii="Garamond" w:eastAsia="Garamond" w:hAnsi="Garamond" w:cs="Garamond"/>
          <w:i/>
          <w:sz w:val="24"/>
          <w:szCs w:val="24"/>
        </w:rPr>
      </w:pPr>
    </w:p>
    <w:p w14:paraId="4E095462" w14:textId="77777777" w:rsidR="002B1F19" w:rsidRDefault="00F80E55">
      <w:pPr>
        <w:jc w:val="both"/>
        <w:rPr>
          <w:rFonts w:ascii="Garamond" w:eastAsia="Garamond" w:hAnsi="Garamond" w:cs="Garamond"/>
          <w:i/>
          <w:sz w:val="24"/>
          <w:szCs w:val="24"/>
        </w:rPr>
      </w:pPr>
      <w:r>
        <w:rPr>
          <w:rFonts w:ascii="Garamond" w:eastAsia="Garamond" w:hAnsi="Garamond" w:cs="Garamond"/>
          <w:i/>
          <w:sz w:val="24"/>
          <w:szCs w:val="24"/>
        </w:rPr>
        <w:t>d. Investigación formativa</w:t>
      </w:r>
    </w:p>
    <w:p w14:paraId="56F7093E" w14:textId="77777777" w:rsidR="002B1F19" w:rsidRDefault="002B1F19">
      <w:pPr>
        <w:jc w:val="both"/>
        <w:rPr>
          <w:rFonts w:ascii="Garamond" w:eastAsia="Garamond" w:hAnsi="Garamond" w:cs="Garamond"/>
          <w:i/>
          <w:sz w:val="24"/>
          <w:szCs w:val="24"/>
        </w:rPr>
      </w:pPr>
    </w:p>
    <w:p w14:paraId="5E2A80F7" w14:textId="77777777" w:rsidR="002B1F19" w:rsidRDefault="00F80E55">
      <w:pPr>
        <w:numPr>
          <w:ilvl w:val="0"/>
          <w:numId w:val="2"/>
        </w:numPr>
        <w:jc w:val="both"/>
        <w:rPr>
          <w:rFonts w:ascii="Garamond" w:eastAsia="Garamond" w:hAnsi="Garamond" w:cs="Garamond"/>
          <w:sz w:val="24"/>
          <w:szCs w:val="24"/>
        </w:rPr>
      </w:pPr>
      <w:r>
        <w:rPr>
          <w:rFonts w:ascii="Garamond" w:eastAsia="Garamond" w:hAnsi="Garamond" w:cs="Garamond"/>
          <w:b/>
          <w:sz w:val="24"/>
          <w:szCs w:val="24"/>
        </w:rPr>
        <w:t>Jóvenes investigadores</w:t>
      </w:r>
      <w:r>
        <w:rPr>
          <w:rFonts w:ascii="Garamond" w:eastAsia="Garamond" w:hAnsi="Garamond" w:cs="Garamond"/>
          <w:sz w:val="24"/>
          <w:szCs w:val="24"/>
        </w:rPr>
        <w:t xml:space="preserve"> </w:t>
      </w:r>
    </w:p>
    <w:p w14:paraId="1FA25DB9" w14:textId="77777777" w:rsidR="002B1F19" w:rsidRDefault="002B1F19">
      <w:pPr>
        <w:jc w:val="both"/>
        <w:rPr>
          <w:rFonts w:ascii="Garamond" w:eastAsia="Garamond" w:hAnsi="Garamond" w:cs="Garamond"/>
          <w:sz w:val="24"/>
          <w:szCs w:val="24"/>
        </w:rPr>
      </w:pPr>
    </w:p>
    <w:p w14:paraId="32F23B74"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lastRenderedPageBreak/>
        <w:t xml:space="preserve">La Universidad de Caldas ha realizado un esfuerzo importante para la cofinanciación de este programa liderado por Colciencias. Como se observa en la gráfica, el comportamiento de este programa es variable en el tiempo como consecuencia de los recursos que </w:t>
      </w:r>
      <w:r>
        <w:rPr>
          <w:rFonts w:ascii="Garamond" w:eastAsia="Garamond" w:hAnsi="Garamond" w:cs="Garamond"/>
          <w:sz w:val="24"/>
          <w:szCs w:val="24"/>
        </w:rPr>
        <w:t xml:space="preserve">Colciencias destine para este propósito.    </w:t>
      </w:r>
    </w:p>
    <w:p w14:paraId="11DFA24B" w14:textId="77777777" w:rsidR="002B1F19" w:rsidRDefault="002B1F19">
      <w:pPr>
        <w:jc w:val="both"/>
        <w:rPr>
          <w:rFonts w:ascii="Garamond" w:eastAsia="Garamond" w:hAnsi="Garamond" w:cs="Garamond"/>
          <w:sz w:val="24"/>
          <w:szCs w:val="24"/>
        </w:rPr>
      </w:pPr>
    </w:p>
    <w:p w14:paraId="4B61BFDB"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Esta estrategia permite la vinculación de jóvenes recién egresados de los programas de pregrado a procesos de investigación, lo cual contribuye a la formación de competencias en este ámbito y estimula el relaci</w:t>
      </w:r>
      <w:r>
        <w:rPr>
          <w:rFonts w:ascii="Garamond" w:eastAsia="Garamond" w:hAnsi="Garamond" w:cs="Garamond"/>
          <w:sz w:val="24"/>
          <w:szCs w:val="24"/>
        </w:rPr>
        <w:t>onamiento intergeneracional vinculando los investigadores de trayectoria con la formación de investigadores. Se resalta que algunos de estos jóvenes continúan su formación investigativa en los posgrados que ofrece la institución.</w:t>
      </w:r>
    </w:p>
    <w:p w14:paraId="000A1FA3" w14:textId="77777777" w:rsidR="002B1F19" w:rsidRDefault="002B1F19">
      <w:pPr>
        <w:rPr>
          <w:rFonts w:ascii="Garamond" w:eastAsia="Garamond" w:hAnsi="Garamond" w:cs="Garamond"/>
          <w:sz w:val="24"/>
          <w:szCs w:val="24"/>
        </w:rPr>
      </w:pPr>
    </w:p>
    <w:p w14:paraId="1F6C52FC" w14:textId="77777777" w:rsidR="002B1F19" w:rsidRDefault="00F80E55">
      <w:pPr>
        <w:jc w:val="center"/>
        <w:rPr>
          <w:rFonts w:ascii="Garamond" w:eastAsia="Garamond" w:hAnsi="Garamond" w:cs="Garamond"/>
          <w:sz w:val="24"/>
          <w:szCs w:val="24"/>
        </w:rPr>
      </w:pPr>
      <w:r>
        <w:rPr>
          <w:rFonts w:ascii="Garamond" w:eastAsia="Garamond" w:hAnsi="Garamond" w:cs="Garamond"/>
          <w:noProof/>
          <w:sz w:val="24"/>
          <w:szCs w:val="24"/>
        </w:rPr>
        <w:drawing>
          <wp:inline distT="114300" distB="114300" distL="114300" distR="114300" wp14:anchorId="099B8DD8" wp14:editId="2F9D3F42">
            <wp:extent cx="4706755" cy="2916010"/>
            <wp:effectExtent l="0" t="0" r="0" b="0"/>
            <wp:docPr id="10" name="image2.png" descr="Gráfico"/>
            <wp:cNvGraphicFramePr/>
            <a:graphic xmlns:a="http://schemas.openxmlformats.org/drawingml/2006/main">
              <a:graphicData uri="http://schemas.openxmlformats.org/drawingml/2006/picture">
                <pic:pic xmlns:pic="http://schemas.openxmlformats.org/drawingml/2006/picture">
                  <pic:nvPicPr>
                    <pic:cNvPr id="0" name="image2.png" descr="Gráfico"/>
                    <pic:cNvPicPr preferRelativeResize="0"/>
                  </pic:nvPicPr>
                  <pic:blipFill>
                    <a:blip r:embed="rId25"/>
                    <a:srcRect/>
                    <a:stretch>
                      <a:fillRect/>
                    </a:stretch>
                  </pic:blipFill>
                  <pic:spPr>
                    <a:xfrm>
                      <a:off x="0" y="0"/>
                      <a:ext cx="4706755" cy="2916010"/>
                    </a:xfrm>
                    <a:prstGeom prst="rect">
                      <a:avLst/>
                    </a:prstGeom>
                    <a:ln/>
                  </pic:spPr>
                </pic:pic>
              </a:graphicData>
            </a:graphic>
          </wp:inline>
        </w:drawing>
      </w:r>
    </w:p>
    <w:p w14:paraId="19B84BD1" w14:textId="77777777" w:rsidR="002B1F19" w:rsidRDefault="00F80E55">
      <w:pPr>
        <w:jc w:val="center"/>
        <w:rPr>
          <w:rFonts w:ascii="Garamond" w:eastAsia="Garamond" w:hAnsi="Garamond" w:cs="Garamond"/>
          <w:b/>
          <w:color w:val="FF0000"/>
          <w:sz w:val="24"/>
          <w:szCs w:val="24"/>
        </w:rPr>
      </w:pPr>
      <w:r>
        <w:rPr>
          <w:rFonts w:ascii="Garamond" w:eastAsia="Garamond" w:hAnsi="Garamond" w:cs="Garamond"/>
          <w:b/>
          <w:sz w:val="24"/>
          <w:szCs w:val="24"/>
        </w:rPr>
        <w:t xml:space="preserve">Recursos destinados al </w:t>
      </w:r>
      <w:r>
        <w:rPr>
          <w:rFonts w:ascii="Garamond" w:eastAsia="Garamond" w:hAnsi="Garamond" w:cs="Garamond"/>
          <w:b/>
          <w:sz w:val="24"/>
          <w:szCs w:val="24"/>
        </w:rPr>
        <w:t xml:space="preserve">programa de Jóvenes Investigadores </w:t>
      </w:r>
      <w:r>
        <w:rPr>
          <w:rFonts w:ascii="Garamond" w:eastAsia="Garamond" w:hAnsi="Garamond" w:cs="Garamond"/>
          <w:b/>
          <w:color w:val="FF0000"/>
          <w:sz w:val="24"/>
          <w:szCs w:val="24"/>
        </w:rPr>
        <w:t xml:space="preserve">(2009-2018) </w:t>
      </w:r>
    </w:p>
    <w:p w14:paraId="4E414FDD" w14:textId="77777777" w:rsidR="002B1F19" w:rsidRDefault="00F80E55">
      <w:pPr>
        <w:jc w:val="center"/>
        <w:rPr>
          <w:rFonts w:ascii="Garamond" w:eastAsia="Garamond" w:hAnsi="Garamond" w:cs="Garamond"/>
          <w:sz w:val="24"/>
          <w:szCs w:val="24"/>
        </w:rPr>
      </w:pPr>
      <w:commentRangeStart w:id="2"/>
      <w:r>
        <w:rPr>
          <w:rFonts w:ascii="Garamond" w:eastAsia="Garamond" w:hAnsi="Garamond" w:cs="Garamond"/>
          <w:noProof/>
          <w:sz w:val="24"/>
          <w:szCs w:val="24"/>
        </w:rPr>
        <w:drawing>
          <wp:inline distT="114300" distB="114300" distL="114300" distR="114300" wp14:anchorId="3E908BC3" wp14:editId="4A4E87F0">
            <wp:extent cx="5524500" cy="3324225"/>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5524500" cy="3324225"/>
                    </a:xfrm>
                    <a:prstGeom prst="rect">
                      <a:avLst/>
                    </a:prstGeom>
                    <a:ln/>
                  </pic:spPr>
                </pic:pic>
              </a:graphicData>
            </a:graphic>
          </wp:inline>
        </w:drawing>
      </w:r>
      <w:commentRangeEnd w:id="2"/>
      <w:r>
        <w:commentReference w:id="2"/>
      </w:r>
    </w:p>
    <w:p w14:paraId="3AA1C14E" w14:textId="77777777" w:rsidR="002B1F19" w:rsidRDefault="00F80E55">
      <w:pPr>
        <w:jc w:val="center"/>
        <w:rPr>
          <w:rFonts w:ascii="Garamond" w:eastAsia="Garamond" w:hAnsi="Garamond" w:cs="Garamond"/>
          <w:sz w:val="24"/>
          <w:szCs w:val="24"/>
        </w:rPr>
      </w:pPr>
      <w:r>
        <w:rPr>
          <w:rFonts w:ascii="Garamond" w:eastAsia="Garamond" w:hAnsi="Garamond" w:cs="Garamond"/>
          <w:sz w:val="24"/>
          <w:szCs w:val="24"/>
        </w:rPr>
        <w:t>Fuente: Vicerrectoría de Investigaciones y Posgrados</w:t>
      </w:r>
    </w:p>
    <w:p w14:paraId="6A819604" w14:textId="77777777" w:rsidR="002B1F19" w:rsidRDefault="002B1F19">
      <w:pPr>
        <w:jc w:val="center"/>
        <w:rPr>
          <w:rFonts w:ascii="Garamond" w:eastAsia="Garamond" w:hAnsi="Garamond" w:cs="Garamond"/>
          <w:sz w:val="24"/>
          <w:szCs w:val="24"/>
        </w:rPr>
      </w:pPr>
    </w:p>
    <w:p w14:paraId="0864F8A4" w14:textId="77777777" w:rsidR="002B1F19" w:rsidRDefault="002B1F19">
      <w:pPr>
        <w:jc w:val="center"/>
        <w:rPr>
          <w:rFonts w:ascii="Garamond" w:eastAsia="Garamond" w:hAnsi="Garamond" w:cs="Garamond"/>
          <w:sz w:val="24"/>
          <w:szCs w:val="24"/>
        </w:rPr>
      </w:pPr>
    </w:p>
    <w:p w14:paraId="24A34F3F" w14:textId="77777777" w:rsidR="002B1F19" w:rsidRDefault="00F80E55">
      <w:pPr>
        <w:numPr>
          <w:ilvl w:val="0"/>
          <w:numId w:val="2"/>
        </w:numPr>
        <w:jc w:val="both"/>
        <w:rPr>
          <w:rFonts w:ascii="Garamond" w:eastAsia="Garamond" w:hAnsi="Garamond" w:cs="Garamond"/>
          <w:b/>
          <w:sz w:val="24"/>
          <w:szCs w:val="24"/>
        </w:rPr>
      </w:pPr>
      <w:r>
        <w:rPr>
          <w:rFonts w:ascii="Garamond" w:eastAsia="Garamond" w:hAnsi="Garamond" w:cs="Garamond"/>
          <w:b/>
          <w:sz w:val="24"/>
          <w:szCs w:val="24"/>
        </w:rPr>
        <w:t>Semilleros de investigación</w:t>
      </w:r>
    </w:p>
    <w:p w14:paraId="2823E90C" w14:textId="77777777" w:rsidR="002B1F19" w:rsidRDefault="002B1F19">
      <w:pPr>
        <w:jc w:val="both"/>
        <w:rPr>
          <w:rFonts w:ascii="Garamond" w:eastAsia="Garamond" w:hAnsi="Garamond" w:cs="Garamond"/>
          <w:sz w:val="24"/>
          <w:szCs w:val="24"/>
        </w:rPr>
      </w:pPr>
    </w:p>
    <w:p w14:paraId="04B03DF1"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Los semilleros de investigación se constituyen en una de las principales estrategias orientadas a la formación en inves</w:t>
      </w:r>
      <w:r>
        <w:rPr>
          <w:rFonts w:ascii="Garamond" w:eastAsia="Garamond" w:hAnsi="Garamond" w:cs="Garamond"/>
          <w:sz w:val="24"/>
          <w:szCs w:val="24"/>
        </w:rPr>
        <w:t>tigación en los niveles de pregrado y posgrado. Cabe destacar que los semilleros se articulan a los grupos de investigación lo que genera un encadenamiento entre investigadores y estudiantes que convergen en torno temas o líneas de investigación de interés</w:t>
      </w:r>
      <w:r>
        <w:rPr>
          <w:rFonts w:ascii="Garamond" w:eastAsia="Garamond" w:hAnsi="Garamond" w:cs="Garamond"/>
          <w:sz w:val="24"/>
          <w:szCs w:val="24"/>
        </w:rPr>
        <w:t xml:space="preserve"> común. </w:t>
      </w:r>
    </w:p>
    <w:p w14:paraId="7844EC16" w14:textId="77777777" w:rsidR="002B1F19" w:rsidRDefault="002B1F19">
      <w:pPr>
        <w:jc w:val="both"/>
        <w:rPr>
          <w:rFonts w:ascii="Garamond" w:eastAsia="Garamond" w:hAnsi="Garamond" w:cs="Garamond"/>
          <w:sz w:val="24"/>
          <w:szCs w:val="24"/>
        </w:rPr>
      </w:pPr>
    </w:p>
    <w:p w14:paraId="07220846"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 xml:space="preserve">Entre el año 2015 y 2018 se ha presentado un incremento significativo tanto en el número de semilleros (38,5%) como en el número de integrantes (36,38 %). Cabe destacar que a partir del año 2015 se amplió la estrategia de formación investigativa </w:t>
      </w:r>
      <w:r>
        <w:rPr>
          <w:rFonts w:ascii="Garamond" w:eastAsia="Garamond" w:hAnsi="Garamond" w:cs="Garamond"/>
          <w:sz w:val="24"/>
          <w:szCs w:val="24"/>
        </w:rPr>
        <w:t>dirigida a estudiantes de pregrado y, en menor medida, de posgrado. Como consecuencia de este proceso se han diversificado las opciones para el reconocimiento de créditos aportando, de este modo, a la flexibilidad curricular. Esta posibilidad se ha materia</w:t>
      </w:r>
      <w:r>
        <w:rPr>
          <w:rFonts w:ascii="Garamond" w:eastAsia="Garamond" w:hAnsi="Garamond" w:cs="Garamond"/>
          <w:sz w:val="24"/>
          <w:szCs w:val="24"/>
        </w:rPr>
        <w:t>lizado mediante el Acuerdo 10 de 2015 del Consejo Académico que establece los requisitos para el reconocimiento de créditos por la participación en semilleros de investigación.</w:t>
      </w:r>
    </w:p>
    <w:p w14:paraId="3FA417B5" w14:textId="77777777" w:rsidR="002B1F19" w:rsidRDefault="002B1F19">
      <w:pPr>
        <w:jc w:val="both"/>
        <w:rPr>
          <w:rFonts w:ascii="Garamond" w:eastAsia="Garamond" w:hAnsi="Garamond" w:cs="Garamond"/>
          <w:sz w:val="24"/>
          <w:szCs w:val="24"/>
        </w:rPr>
      </w:pPr>
    </w:p>
    <w:p w14:paraId="152E5006" w14:textId="77777777" w:rsidR="002B1F19" w:rsidRDefault="00F80E55">
      <w:pPr>
        <w:widowControl w:val="0"/>
        <w:spacing w:line="240" w:lineRule="auto"/>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A partir de algunas percepciones surgidas en los grupos focales, se plantea la existencia de “[un] mayor interés de los estudiantes de pregrado por participar en los semilleros de investigación [...]. De ahí que, al inicio de los estudios de posgrado [los </w:t>
      </w:r>
      <w:r>
        <w:rPr>
          <w:rFonts w:ascii="Garamond" w:eastAsia="Garamond" w:hAnsi="Garamond" w:cs="Garamond"/>
          <w:color w:val="222222"/>
          <w:sz w:val="24"/>
          <w:szCs w:val="24"/>
        </w:rPr>
        <w:t>estudiantes] ya tengan herramientas suficientes para continuar sus trabajos vinculados en un grupo de investigación”. (</w:t>
      </w:r>
      <w:r>
        <w:rPr>
          <w:rFonts w:ascii="Garamond" w:eastAsia="Garamond" w:hAnsi="Garamond" w:cs="Garamond"/>
          <w:sz w:val="24"/>
          <w:szCs w:val="24"/>
        </w:rPr>
        <w:t>DOFA Eg. Ciencias exactas</w:t>
      </w:r>
      <w:r>
        <w:rPr>
          <w:rFonts w:ascii="Garamond" w:eastAsia="Garamond" w:hAnsi="Garamond" w:cs="Garamond"/>
          <w:color w:val="222222"/>
          <w:sz w:val="24"/>
          <w:szCs w:val="24"/>
        </w:rPr>
        <w:t>). De igual manera otros destacan, como un aspecto positivo la ampliación en la “cantidad de semilleros y grupos</w:t>
      </w:r>
      <w:r>
        <w:rPr>
          <w:rFonts w:ascii="Garamond" w:eastAsia="Garamond" w:hAnsi="Garamond" w:cs="Garamond"/>
          <w:color w:val="222222"/>
          <w:sz w:val="24"/>
          <w:szCs w:val="24"/>
        </w:rPr>
        <w:t xml:space="preserve">” </w:t>
      </w:r>
      <w:r>
        <w:rPr>
          <w:rFonts w:ascii="Garamond" w:eastAsia="Garamond" w:hAnsi="Garamond" w:cs="Garamond"/>
          <w:sz w:val="24"/>
          <w:szCs w:val="24"/>
        </w:rPr>
        <w:t xml:space="preserve">(GFP1, </w:t>
      </w:r>
      <w:r>
        <w:rPr>
          <w:rFonts w:ascii="Garamond" w:eastAsia="Garamond" w:hAnsi="Garamond" w:cs="Garamond"/>
          <w:color w:val="222222"/>
          <w:sz w:val="24"/>
          <w:szCs w:val="24"/>
        </w:rPr>
        <w:t>DOFA Eg. 1</w:t>
      </w:r>
      <w:r>
        <w:rPr>
          <w:rFonts w:ascii="Garamond" w:eastAsia="Garamond" w:hAnsi="Garamond" w:cs="Garamond"/>
          <w:sz w:val="24"/>
          <w:szCs w:val="24"/>
        </w:rPr>
        <w:t>)</w:t>
      </w:r>
      <w:r>
        <w:rPr>
          <w:rFonts w:ascii="Garamond" w:eastAsia="Garamond" w:hAnsi="Garamond" w:cs="Garamond"/>
          <w:color w:val="222222"/>
          <w:sz w:val="24"/>
          <w:szCs w:val="24"/>
        </w:rPr>
        <w:t xml:space="preserve"> y el apoyo “para participar diferentes eventos académicos” (DOFA Eg. 1). El fomento a la investigación formativa a través de los semilleros de investigación también se ha percibido como una vía para construir “[una] universidad competi</w:t>
      </w:r>
      <w:r>
        <w:rPr>
          <w:rFonts w:ascii="Garamond" w:eastAsia="Garamond" w:hAnsi="Garamond" w:cs="Garamond"/>
          <w:color w:val="222222"/>
          <w:sz w:val="24"/>
          <w:szCs w:val="24"/>
        </w:rPr>
        <w:t xml:space="preserve">tiva en investigación, con gran visión a formar semilleros que nos representen a nivel mundial” </w:t>
      </w:r>
      <w:r>
        <w:rPr>
          <w:sz w:val="24"/>
          <w:szCs w:val="24"/>
        </w:rPr>
        <w:t>(A1ES49)</w:t>
      </w:r>
      <w:r>
        <w:rPr>
          <w:rFonts w:ascii="Garamond" w:eastAsia="Garamond" w:hAnsi="Garamond" w:cs="Garamond"/>
          <w:color w:val="222222"/>
          <w:sz w:val="24"/>
          <w:szCs w:val="24"/>
        </w:rPr>
        <w:t xml:space="preserve">  </w:t>
      </w:r>
    </w:p>
    <w:p w14:paraId="2CC0C4C8" w14:textId="77777777" w:rsidR="002B1F19" w:rsidRDefault="002B1F19">
      <w:pPr>
        <w:widowControl w:val="0"/>
        <w:spacing w:line="240" w:lineRule="auto"/>
        <w:jc w:val="both"/>
        <w:rPr>
          <w:rFonts w:ascii="Garamond" w:eastAsia="Garamond" w:hAnsi="Garamond" w:cs="Garamond"/>
          <w:color w:val="222222"/>
          <w:sz w:val="24"/>
          <w:szCs w:val="24"/>
        </w:rPr>
      </w:pPr>
    </w:p>
    <w:p w14:paraId="7A49F4E2" w14:textId="77777777" w:rsidR="002B1F19" w:rsidRDefault="00F80E55">
      <w:pPr>
        <w:widowControl w:val="0"/>
        <w:spacing w:line="240" w:lineRule="auto"/>
        <w:jc w:val="both"/>
        <w:rPr>
          <w:rFonts w:ascii="Garamond" w:eastAsia="Garamond" w:hAnsi="Garamond" w:cs="Garamond"/>
          <w:color w:val="222222"/>
          <w:sz w:val="24"/>
          <w:szCs w:val="24"/>
        </w:rPr>
      </w:pPr>
      <w:r>
        <w:rPr>
          <w:rFonts w:ascii="Garamond" w:eastAsia="Garamond" w:hAnsi="Garamond" w:cs="Garamond"/>
          <w:color w:val="222222"/>
          <w:sz w:val="24"/>
          <w:szCs w:val="24"/>
        </w:rPr>
        <w:t xml:space="preserve">No obstante algunos expresan que no hay suficiente “cobertura en el apoyo a estudiantes, tanto de pregrado como posgrado en temas de investigación” </w:t>
      </w:r>
      <w:r>
        <w:rPr>
          <w:rFonts w:ascii="Garamond" w:eastAsia="Garamond" w:hAnsi="Garamond" w:cs="Garamond"/>
          <w:color w:val="222222"/>
          <w:sz w:val="24"/>
          <w:szCs w:val="24"/>
        </w:rPr>
        <w:t>(DOFA Eg. Ciencias exactas) en particular para “visibilizar los proyectos que realizan los estudiantes” (TES2)</w:t>
      </w:r>
    </w:p>
    <w:p w14:paraId="02448634" w14:textId="77777777" w:rsidR="002B1F19" w:rsidRDefault="002B1F19">
      <w:pPr>
        <w:jc w:val="both"/>
        <w:rPr>
          <w:rFonts w:ascii="Garamond" w:eastAsia="Garamond" w:hAnsi="Garamond" w:cs="Garamond"/>
          <w:sz w:val="24"/>
          <w:szCs w:val="24"/>
        </w:rPr>
      </w:pPr>
    </w:p>
    <w:p w14:paraId="19DD355C" w14:textId="77777777" w:rsidR="002B1F19" w:rsidRDefault="00F80E55">
      <w:pPr>
        <w:jc w:val="both"/>
        <w:rPr>
          <w:rFonts w:ascii="Garamond" w:eastAsia="Garamond" w:hAnsi="Garamond" w:cs="Garamond"/>
          <w:sz w:val="24"/>
          <w:szCs w:val="24"/>
        </w:rPr>
      </w:pPr>
      <w:r>
        <w:rPr>
          <w:rFonts w:ascii="Garamond" w:eastAsia="Garamond" w:hAnsi="Garamond" w:cs="Garamond"/>
          <w:noProof/>
          <w:sz w:val="24"/>
          <w:szCs w:val="24"/>
        </w:rPr>
        <w:drawing>
          <wp:inline distT="114300" distB="114300" distL="114300" distR="114300" wp14:anchorId="41C1E2B2" wp14:editId="46229EB4">
            <wp:extent cx="5734050" cy="1727200"/>
            <wp:effectExtent l="0" t="0" r="0" b="0"/>
            <wp:docPr id="21" name="image25.png" descr="Gráfico"/>
            <wp:cNvGraphicFramePr/>
            <a:graphic xmlns:a="http://schemas.openxmlformats.org/drawingml/2006/main">
              <a:graphicData uri="http://schemas.openxmlformats.org/drawingml/2006/picture">
                <pic:pic xmlns:pic="http://schemas.openxmlformats.org/drawingml/2006/picture">
                  <pic:nvPicPr>
                    <pic:cNvPr id="0" name="image25.png" descr="Gráfico"/>
                    <pic:cNvPicPr preferRelativeResize="0"/>
                  </pic:nvPicPr>
                  <pic:blipFill>
                    <a:blip r:embed="rId27"/>
                    <a:srcRect/>
                    <a:stretch>
                      <a:fillRect/>
                    </a:stretch>
                  </pic:blipFill>
                  <pic:spPr>
                    <a:xfrm>
                      <a:off x="0" y="0"/>
                      <a:ext cx="5734050" cy="1727200"/>
                    </a:xfrm>
                    <a:prstGeom prst="rect">
                      <a:avLst/>
                    </a:prstGeom>
                    <a:ln/>
                  </pic:spPr>
                </pic:pic>
              </a:graphicData>
            </a:graphic>
          </wp:inline>
        </w:drawing>
      </w:r>
    </w:p>
    <w:p w14:paraId="5654D44D" w14:textId="77777777" w:rsidR="002B1F19" w:rsidRDefault="002B1F19">
      <w:pPr>
        <w:jc w:val="both"/>
        <w:rPr>
          <w:rFonts w:ascii="Garamond" w:eastAsia="Garamond" w:hAnsi="Garamond" w:cs="Garamond"/>
          <w:i/>
          <w:sz w:val="24"/>
          <w:szCs w:val="24"/>
        </w:rPr>
      </w:pPr>
    </w:p>
    <w:p w14:paraId="0F618290" w14:textId="77777777" w:rsidR="002B1F19" w:rsidRDefault="00F80E55">
      <w:pPr>
        <w:numPr>
          <w:ilvl w:val="0"/>
          <w:numId w:val="4"/>
        </w:numPr>
        <w:jc w:val="both"/>
        <w:rPr>
          <w:rFonts w:ascii="Garamond" w:eastAsia="Garamond" w:hAnsi="Garamond" w:cs="Garamond"/>
          <w:b/>
          <w:sz w:val="24"/>
          <w:szCs w:val="24"/>
        </w:rPr>
      </w:pPr>
      <w:r>
        <w:rPr>
          <w:rFonts w:ascii="Garamond" w:eastAsia="Garamond" w:hAnsi="Garamond" w:cs="Garamond"/>
          <w:b/>
          <w:sz w:val="24"/>
          <w:szCs w:val="24"/>
        </w:rPr>
        <w:t xml:space="preserve">Investigación en el aula </w:t>
      </w:r>
    </w:p>
    <w:p w14:paraId="2ADA9A11" w14:textId="77777777" w:rsidR="002B1F19" w:rsidRDefault="002B1F19">
      <w:pPr>
        <w:jc w:val="both"/>
        <w:rPr>
          <w:rFonts w:ascii="Garamond" w:eastAsia="Garamond" w:hAnsi="Garamond" w:cs="Garamond"/>
          <w:i/>
          <w:sz w:val="24"/>
          <w:szCs w:val="24"/>
        </w:rPr>
      </w:pPr>
    </w:p>
    <w:p w14:paraId="1F554A28" w14:textId="77777777" w:rsidR="002B1F19" w:rsidRDefault="002B1F19">
      <w:pPr>
        <w:jc w:val="both"/>
        <w:rPr>
          <w:rFonts w:ascii="Garamond" w:eastAsia="Garamond" w:hAnsi="Garamond" w:cs="Garamond"/>
          <w:sz w:val="24"/>
          <w:szCs w:val="24"/>
        </w:rPr>
      </w:pPr>
    </w:p>
    <w:p w14:paraId="260A9B0D" w14:textId="77777777" w:rsidR="002B1F19" w:rsidRDefault="00F80E55">
      <w:pPr>
        <w:jc w:val="both"/>
        <w:rPr>
          <w:rFonts w:ascii="Garamond" w:eastAsia="Garamond" w:hAnsi="Garamond" w:cs="Garamond"/>
          <w:i/>
          <w:sz w:val="24"/>
          <w:szCs w:val="24"/>
        </w:rPr>
      </w:pPr>
      <w:r>
        <w:rPr>
          <w:rFonts w:ascii="Garamond" w:eastAsia="Garamond" w:hAnsi="Garamond" w:cs="Garamond"/>
          <w:i/>
          <w:noProof/>
          <w:sz w:val="24"/>
          <w:szCs w:val="24"/>
        </w:rPr>
        <w:lastRenderedPageBreak/>
        <w:drawing>
          <wp:inline distT="114300" distB="114300" distL="114300" distR="114300" wp14:anchorId="392F49A4" wp14:editId="6628E1C8">
            <wp:extent cx="6284119" cy="3888737"/>
            <wp:effectExtent l="0" t="0" r="0" b="0"/>
            <wp:docPr id="9" name="image15.png" descr="Gráfico"/>
            <wp:cNvGraphicFramePr/>
            <a:graphic xmlns:a="http://schemas.openxmlformats.org/drawingml/2006/main">
              <a:graphicData uri="http://schemas.openxmlformats.org/drawingml/2006/picture">
                <pic:pic xmlns:pic="http://schemas.openxmlformats.org/drawingml/2006/picture">
                  <pic:nvPicPr>
                    <pic:cNvPr id="0" name="image15.png" descr="Gráfico"/>
                    <pic:cNvPicPr preferRelativeResize="0"/>
                  </pic:nvPicPr>
                  <pic:blipFill>
                    <a:blip r:embed="rId28"/>
                    <a:srcRect/>
                    <a:stretch>
                      <a:fillRect/>
                    </a:stretch>
                  </pic:blipFill>
                  <pic:spPr>
                    <a:xfrm>
                      <a:off x="0" y="0"/>
                      <a:ext cx="6284119" cy="3888737"/>
                    </a:xfrm>
                    <a:prstGeom prst="rect">
                      <a:avLst/>
                    </a:prstGeom>
                    <a:ln/>
                  </pic:spPr>
                </pic:pic>
              </a:graphicData>
            </a:graphic>
          </wp:inline>
        </w:drawing>
      </w:r>
    </w:p>
    <w:p w14:paraId="7FEB163D" w14:textId="77777777" w:rsidR="002B1F19" w:rsidRDefault="002B1F19">
      <w:pPr>
        <w:jc w:val="both"/>
        <w:rPr>
          <w:rFonts w:ascii="Garamond" w:eastAsia="Garamond" w:hAnsi="Garamond" w:cs="Garamond"/>
          <w:i/>
          <w:sz w:val="24"/>
          <w:szCs w:val="24"/>
        </w:rPr>
      </w:pPr>
    </w:p>
    <w:p w14:paraId="78C11E2A" w14:textId="77777777" w:rsidR="002B1F19" w:rsidRDefault="00F80E55">
      <w:pPr>
        <w:numPr>
          <w:ilvl w:val="0"/>
          <w:numId w:val="5"/>
        </w:numPr>
        <w:jc w:val="both"/>
        <w:rPr>
          <w:rFonts w:ascii="Garamond" w:eastAsia="Garamond" w:hAnsi="Garamond" w:cs="Garamond"/>
          <w:b/>
          <w:sz w:val="24"/>
          <w:szCs w:val="24"/>
        </w:rPr>
      </w:pPr>
      <w:r>
        <w:rPr>
          <w:rFonts w:ascii="Garamond" w:eastAsia="Garamond" w:hAnsi="Garamond" w:cs="Garamond"/>
          <w:b/>
          <w:sz w:val="24"/>
          <w:szCs w:val="24"/>
        </w:rPr>
        <w:t>Otras estrategias de investigación formativa</w:t>
      </w:r>
    </w:p>
    <w:p w14:paraId="23AF22C7" w14:textId="77777777" w:rsidR="002B1F19" w:rsidRDefault="002B1F19">
      <w:pPr>
        <w:jc w:val="both"/>
        <w:rPr>
          <w:rFonts w:ascii="Garamond" w:eastAsia="Garamond" w:hAnsi="Garamond" w:cs="Garamond"/>
          <w:b/>
          <w:sz w:val="24"/>
          <w:szCs w:val="24"/>
        </w:rPr>
      </w:pPr>
    </w:p>
    <w:p w14:paraId="10D5E6F7" w14:textId="77777777" w:rsidR="002B1F19" w:rsidRDefault="00F80E55">
      <w:pPr>
        <w:jc w:val="both"/>
        <w:rPr>
          <w:rFonts w:ascii="Garamond" w:eastAsia="Garamond" w:hAnsi="Garamond" w:cs="Garamond"/>
          <w:b/>
          <w:sz w:val="24"/>
          <w:szCs w:val="24"/>
        </w:rPr>
      </w:pPr>
      <w:r>
        <w:rPr>
          <w:rFonts w:ascii="Garamond" w:eastAsia="Garamond" w:hAnsi="Garamond" w:cs="Garamond"/>
          <w:sz w:val="24"/>
          <w:szCs w:val="24"/>
        </w:rPr>
        <w:t xml:space="preserve">La participación de estudiantes de pregrado y posgrado en proyectos de investigación, en el marco de la convocatoria general de investigación que realiza anualmente la VIP, se constituye en otra de las estrategias orientadas al desarrollo de habilidades y </w:t>
      </w:r>
      <w:r>
        <w:rPr>
          <w:rFonts w:ascii="Garamond" w:eastAsia="Garamond" w:hAnsi="Garamond" w:cs="Garamond"/>
          <w:sz w:val="24"/>
          <w:szCs w:val="24"/>
        </w:rPr>
        <w:t xml:space="preserve">competencias para la investigación. </w:t>
      </w:r>
    </w:p>
    <w:p w14:paraId="790A4DD2" w14:textId="77777777" w:rsidR="002B1F19" w:rsidRDefault="002B1F19">
      <w:pPr>
        <w:jc w:val="both"/>
        <w:rPr>
          <w:rFonts w:ascii="Garamond" w:eastAsia="Garamond" w:hAnsi="Garamond" w:cs="Garamond"/>
          <w:b/>
          <w:sz w:val="24"/>
          <w:szCs w:val="24"/>
        </w:rPr>
      </w:pPr>
    </w:p>
    <w:p w14:paraId="1B58650E"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La participación en proyectos de investigación se constituye en una estrategia de investigación formativa a través de la vinculación de estudiantes en iniciativas de investigación liderada por los docentes. Cabe aclara</w:t>
      </w:r>
      <w:r>
        <w:rPr>
          <w:rFonts w:ascii="Garamond" w:eastAsia="Garamond" w:hAnsi="Garamond" w:cs="Garamond"/>
          <w:sz w:val="24"/>
          <w:szCs w:val="24"/>
        </w:rPr>
        <w:t xml:space="preserve">r que en este ítem solo se considera la participación de estudiantes en proyectos de investigación inscritos por los docentes de planta.   </w:t>
      </w:r>
    </w:p>
    <w:p w14:paraId="292995FD" w14:textId="77777777" w:rsidR="002B1F19" w:rsidRDefault="002B1F19">
      <w:pPr>
        <w:jc w:val="both"/>
        <w:rPr>
          <w:rFonts w:ascii="Garamond" w:eastAsia="Garamond" w:hAnsi="Garamond" w:cs="Garamond"/>
          <w:b/>
          <w:sz w:val="24"/>
          <w:szCs w:val="24"/>
        </w:rPr>
      </w:pPr>
    </w:p>
    <w:p w14:paraId="3B6BE4D3" w14:textId="77777777" w:rsidR="002B1F19" w:rsidRDefault="00F80E55">
      <w:pPr>
        <w:jc w:val="both"/>
        <w:rPr>
          <w:rFonts w:ascii="Garamond" w:eastAsia="Garamond" w:hAnsi="Garamond" w:cs="Garamond"/>
          <w:sz w:val="24"/>
          <w:szCs w:val="24"/>
        </w:rPr>
      </w:pPr>
      <w:r>
        <w:rPr>
          <w:rFonts w:ascii="Garamond" w:eastAsia="Garamond" w:hAnsi="Garamond" w:cs="Garamond"/>
          <w:b/>
          <w:noProof/>
          <w:sz w:val="24"/>
          <w:szCs w:val="24"/>
        </w:rPr>
        <w:lastRenderedPageBreak/>
        <w:drawing>
          <wp:inline distT="114300" distB="114300" distL="114300" distR="114300" wp14:anchorId="496AA141" wp14:editId="1AB90E29">
            <wp:extent cx="5734050" cy="3543300"/>
            <wp:effectExtent l="0" t="0" r="0" b="0"/>
            <wp:docPr id="18" name="image19.png" descr="Gráfico"/>
            <wp:cNvGraphicFramePr/>
            <a:graphic xmlns:a="http://schemas.openxmlformats.org/drawingml/2006/main">
              <a:graphicData uri="http://schemas.openxmlformats.org/drawingml/2006/picture">
                <pic:pic xmlns:pic="http://schemas.openxmlformats.org/drawingml/2006/picture">
                  <pic:nvPicPr>
                    <pic:cNvPr id="0" name="image19.png" descr="Gráfico"/>
                    <pic:cNvPicPr preferRelativeResize="0"/>
                  </pic:nvPicPr>
                  <pic:blipFill>
                    <a:blip r:embed="rId29"/>
                    <a:srcRect/>
                    <a:stretch>
                      <a:fillRect/>
                    </a:stretch>
                  </pic:blipFill>
                  <pic:spPr>
                    <a:xfrm>
                      <a:off x="0" y="0"/>
                      <a:ext cx="5734050" cy="3543300"/>
                    </a:xfrm>
                    <a:prstGeom prst="rect">
                      <a:avLst/>
                    </a:prstGeom>
                    <a:ln/>
                  </pic:spPr>
                </pic:pic>
              </a:graphicData>
            </a:graphic>
          </wp:inline>
        </w:drawing>
      </w:r>
    </w:p>
    <w:p w14:paraId="35364B4B" w14:textId="77777777" w:rsidR="002B1F19" w:rsidRDefault="00F80E55">
      <w:pPr>
        <w:jc w:val="both"/>
        <w:rPr>
          <w:rFonts w:ascii="Garamond" w:eastAsia="Garamond" w:hAnsi="Garamond" w:cs="Garamond"/>
          <w:i/>
          <w:sz w:val="24"/>
          <w:szCs w:val="24"/>
        </w:rPr>
      </w:pPr>
      <w:r>
        <w:rPr>
          <w:rFonts w:ascii="Garamond" w:eastAsia="Garamond" w:hAnsi="Garamond" w:cs="Garamond"/>
          <w:sz w:val="24"/>
          <w:szCs w:val="24"/>
        </w:rPr>
        <w:t>También aporta a este propósito el componente de profundización que contienen las diferentes mallas curriculares de los programas de pregrado que brindan la opción de cursar asignaturas producto de los procesos y resultados de investigación que realizan lo</w:t>
      </w:r>
      <w:r>
        <w:rPr>
          <w:rFonts w:ascii="Garamond" w:eastAsia="Garamond" w:hAnsi="Garamond" w:cs="Garamond"/>
          <w:sz w:val="24"/>
          <w:szCs w:val="24"/>
        </w:rPr>
        <w:t>s docentes de los diferentes programas. Por otro lado, el desarrollo de trabajos de grado en algunos programas de pregrado, se constituye en una alternativa adicional de acercamiento a la investigación formativa como se precisa en el Acuerdo 45 de 2012 del</w:t>
      </w:r>
      <w:r>
        <w:rPr>
          <w:rFonts w:ascii="Garamond" w:eastAsia="Garamond" w:hAnsi="Garamond" w:cs="Garamond"/>
          <w:sz w:val="24"/>
          <w:szCs w:val="24"/>
        </w:rPr>
        <w:t xml:space="preserve"> Consejo Académico.</w:t>
      </w:r>
    </w:p>
    <w:p w14:paraId="7EF35183" w14:textId="77777777" w:rsidR="002B1F19" w:rsidRDefault="002B1F19">
      <w:pPr>
        <w:jc w:val="both"/>
        <w:rPr>
          <w:rFonts w:ascii="Garamond" w:eastAsia="Garamond" w:hAnsi="Garamond" w:cs="Garamond"/>
          <w:i/>
          <w:sz w:val="24"/>
          <w:szCs w:val="24"/>
        </w:rPr>
      </w:pPr>
    </w:p>
    <w:p w14:paraId="578B038D" w14:textId="77777777" w:rsidR="002B1F19" w:rsidRDefault="00F80E55">
      <w:pPr>
        <w:jc w:val="both"/>
        <w:rPr>
          <w:rFonts w:ascii="Garamond" w:eastAsia="Garamond" w:hAnsi="Garamond" w:cs="Garamond"/>
          <w:i/>
          <w:sz w:val="24"/>
          <w:szCs w:val="24"/>
        </w:rPr>
      </w:pPr>
      <w:r>
        <w:rPr>
          <w:rFonts w:ascii="Garamond" w:eastAsia="Garamond" w:hAnsi="Garamond" w:cs="Garamond"/>
          <w:i/>
          <w:sz w:val="24"/>
          <w:szCs w:val="24"/>
        </w:rPr>
        <w:t>Revistas científicas</w:t>
      </w:r>
    </w:p>
    <w:p w14:paraId="0B1426E5" w14:textId="77777777" w:rsidR="002B1F19" w:rsidRDefault="002B1F19">
      <w:pPr>
        <w:jc w:val="both"/>
        <w:rPr>
          <w:rFonts w:ascii="Garamond" w:eastAsia="Garamond" w:hAnsi="Garamond" w:cs="Garamond"/>
          <w:i/>
          <w:sz w:val="24"/>
          <w:szCs w:val="24"/>
        </w:rPr>
      </w:pPr>
    </w:p>
    <w:p w14:paraId="1F24DD89"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En el período comprendido entre 2009-2018 la Universidad de Caldas ha consolidado 15 revistas científicas en diferentes áreas del conocimiento. Se destaca que entre los años 2009 y 2014, 12 de ellas lograron index</w:t>
      </w:r>
      <w:r>
        <w:rPr>
          <w:rFonts w:ascii="Garamond" w:eastAsia="Garamond" w:hAnsi="Garamond" w:cs="Garamond"/>
          <w:sz w:val="24"/>
          <w:szCs w:val="24"/>
        </w:rPr>
        <w:t xml:space="preserve">ación en las categorías A2, B y C situación que permite plantear una cualificación creciente de las mismas, lo que se evidencia al pasar la institución de tener una única revista clasificada en A2 en el año 2009 a 5 en el 2014. </w:t>
      </w:r>
    </w:p>
    <w:p w14:paraId="6453890A" w14:textId="77777777" w:rsidR="002B1F19" w:rsidRDefault="002B1F19">
      <w:pPr>
        <w:jc w:val="both"/>
        <w:rPr>
          <w:rFonts w:ascii="Garamond" w:eastAsia="Garamond" w:hAnsi="Garamond" w:cs="Garamond"/>
          <w:sz w:val="24"/>
          <w:szCs w:val="24"/>
        </w:rPr>
      </w:pPr>
    </w:p>
    <w:p w14:paraId="73BD2E47"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Se destaca que a partir de</w:t>
      </w:r>
      <w:r>
        <w:rPr>
          <w:rFonts w:ascii="Garamond" w:eastAsia="Garamond" w:hAnsi="Garamond" w:cs="Garamond"/>
          <w:sz w:val="24"/>
          <w:szCs w:val="24"/>
        </w:rPr>
        <w:t xml:space="preserve">l año 2017 se modificaron los criterios de indexación de </w:t>
      </w:r>
      <w:r>
        <w:rPr>
          <w:rFonts w:ascii="Garamond" w:eastAsia="Garamond" w:hAnsi="Garamond" w:cs="Garamond"/>
          <w:i/>
          <w:sz w:val="24"/>
          <w:szCs w:val="24"/>
        </w:rPr>
        <w:t xml:space="preserve">Publindex </w:t>
      </w:r>
      <w:r>
        <w:rPr>
          <w:rFonts w:ascii="Garamond" w:eastAsia="Garamond" w:hAnsi="Garamond" w:cs="Garamond"/>
          <w:sz w:val="24"/>
          <w:szCs w:val="24"/>
        </w:rPr>
        <w:t xml:space="preserve">con base en la adopción de parámetros internacionales lo que hizo más exigente dicha clasificación lo cual tuvo como resultado general una disminución en el número de revistas indexadas en </w:t>
      </w:r>
      <w:r>
        <w:rPr>
          <w:rFonts w:ascii="Garamond" w:eastAsia="Garamond" w:hAnsi="Garamond" w:cs="Garamond"/>
          <w:sz w:val="24"/>
          <w:szCs w:val="24"/>
        </w:rPr>
        <w:t>el país y, también, en la institución. No obstante este resultado, la Universidad logró la indexación de 8 revistas en la medición de los años 2017 y 2018, clasificando por primera vez 2 revistas en A1 que corresponde a la máxima categoría de clasificación</w:t>
      </w:r>
      <w:r>
        <w:rPr>
          <w:rFonts w:ascii="Garamond" w:eastAsia="Garamond" w:hAnsi="Garamond" w:cs="Garamond"/>
          <w:sz w:val="24"/>
          <w:szCs w:val="24"/>
        </w:rPr>
        <w:t xml:space="preserve"> en </w:t>
      </w:r>
      <w:r>
        <w:rPr>
          <w:rFonts w:ascii="Garamond" w:eastAsia="Garamond" w:hAnsi="Garamond" w:cs="Garamond"/>
          <w:i/>
          <w:sz w:val="24"/>
          <w:szCs w:val="24"/>
        </w:rPr>
        <w:t>Publindex</w:t>
      </w:r>
      <w:r>
        <w:rPr>
          <w:rFonts w:ascii="Garamond" w:eastAsia="Garamond" w:hAnsi="Garamond" w:cs="Garamond"/>
          <w:sz w:val="24"/>
          <w:szCs w:val="24"/>
        </w:rPr>
        <w:t xml:space="preserve">. Dichos resultados posicionaron a la institución en el 4 lugar en el conjunto de Universidad públicas y privadas del país con relación al número total de revistas indexadas.    </w:t>
      </w:r>
    </w:p>
    <w:p w14:paraId="3BA55E57" w14:textId="77777777" w:rsidR="002B1F19" w:rsidRDefault="002B1F19">
      <w:pPr>
        <w:jc w:val="both"/>
        <w:rPr>
          <w:rFonts w:ascii="Garamond" w:eastAsia="Garamond" w:hAnsi="Garamond" w:cs="Garamond"/>
          <w:sz w:val="24"/>
          <w:szCs w:val="24"/>
        </w:rPr>
      </w:pPr>
    </w:p>
    <w:p w14:paraId="522115E2" w14:textId="77777777" w:rsidR="002B1F19" w:rsidRDefault="00F80E55">
      <w:pPr>
        <w:jc w:val="center"/>
        <w:rPr>
          <w:rFonts w:ascii="Garamond" w:eastAsia="Garamond" w:hAnsi="Garamond" w:cs="Garamond"/>
          <w:sz w:val="24"/>
          <w:szCs w:val="24"/>
        </w:rPr>
      </w:pPr>
      <w:r>
        <w:rPr>
          <w:rFonts w:ascii="Garamond" w:eastAsia="Garamond" w:hAnsi="Garamond" w:cs="Garamond"/>
          <w:noProof/>
          <w:sz w:val="24"/>
          <w:szCs w:val="24"/>
        </w:rPr>
        <w:lastRenderedPageBreak/>
        <w:drawing>
          <wp:inline distT="114300" distB="114300" distL="114300" distR="114300" wp14:anchorId="486102AD" wp14:editId="4CB08123">
            <wp:extent cx="5309235" cy="3292618"/>
            <wp:effectExtent l="0" t="0" r="0" b="0"/>
            <wp:docPr id="30" name="image21.png" descr="Gráfico"/>
            <wp:cNvGraphicFramePr/>
            <a:graphic xmlns:a="http://schemas.openxmlformats.org/drawingml/2006/main">
              <a:graphicData uri="http://schemas.openxmlformats.org/drawingml/2006/picture">
                <pic:pic xmlns:pic="http://schemas.openxmlformats.org/drawingml/2006/picture">
                  <pic:nvPicPr>
                    <pic:cNvPr id="0" name="image21.png" descr="Gráfico"/>
                    <pic:cNvPicPr preferRelativeResize="0"/>
                  </pic:nvPicPr>
                  <pic:blipFill>
                    <a:blip r:embed="rId30"/>
                    <a:srcRect/>
                    <a:stretch>
                      <a:fillRect/>
                    </a:stretch>
                  </pic:blipFill>
                  <pic:spPr>
                    <a:xfrm>
                      <a:off x="0" y="0"/>
                      <a:ext cx="5309235" cy="3292618"/>
                    </a:xfrm>
                    <a:prstGeom prst="rect">
                      <a:avLst/>
                    </a:prstGeom>
                    <a:ln/>
                  </pic:spPr>
                </pic:pic>
              </a:graphicData>
            </a:graphic>
          </wp:inline>
        </w:drawing>
      </w:r>
      <w:r>
        <w:rPr>
          <w:rFonts w:ascii="Garamond" w:eastAsia="Garamond" w:hAnsi="Garamond" w:cs="Garamond"/>
          <w:sz w:val="24"/>
          <w:szCs w:val="24"/>
        </w:rPr>
        <w:t xml:space="preserve"> </w:t>
      </w:r>
    </w:p>
    <w:p w14:paraId="5A51569E" w14:textId="77777777" w:rsidR="002B1F19" w:rsidRDefault="00F80E55">
      <w:pPr>
        <w:jc w:val="both"/>
        <w:rPr>
          <w:rFonts w:ascii="Garamond" w:eastAsia="Garamond" w:hAnsi="Garamond" w:cs="Garamond"/>
          <w:i/>
          <w:sz w:val="24"/>
          <w:szCs w:val="24"/>
        </w:rPr>
      </w:pPr>
      <w:r>
        <w:rPr>
          <w:rFonts w:ascii="Garamond" w:eastAsia="Garamond" w:hAnsi="Garamond" w:cs="Garamond"/>
          <w:i/>
          <w:sz w:val="24"/>
          <w:szCs w:val="24"/>
        </w:rPr>
        <w:t>Indexación de revistas científicas en Scopus y WOS</w:t>
      </w:r>
    </w:p>
    <w:p w14:paraId="7D74CB3A" w14:textId="77777777" w:rsidR="002B1F19" w:rsidRDefault="002B1F19">
      <w:pPr>
        <w:jc w:val="both"/>
        <w:rPr>
          <w:rFonts w:ascii="Garamond" w:eastAsia="Garamond" w:hAnsi="Garamond" w:cs="Garamond"/>
          <w:sz w:val="24"/>
          <w:szCs w:val="24"/>
        </w:rPr>
      </w:pPr>
    </w:p>
    <w:p w14:paraId="04A57C7D"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La insti</w:t>
      </w:r>
      <w:r>
        <w:rPr>
          <w:rFonts w:ascii="Garamond" w:eastAsia="Garamond" w:hAnsi="Garamond" w:cs="Garamond"/>
          <w:sz w:val="24"/>
          <w:szCs w:val="24"/>
        </w:rPr>
        <w:t xml:space="preserve">tución cuenta con 14 revistas científicas de las cuales 8 se encuentran indexadas en Publindex. También cabe destacar que el 75% de estas últimas (6) están indexadas en </w:t>
      </w:r>
      <w:r>
        <w:rPr>
          <w:rFonts w:ascii="Garamond" w:eastAsia="Garamond" w:hAnsi="Garamond" w:cs="Garamond"/>
          <w:i/>
          <w:sz w:val="24"/>
          <w:szCs w:val="24"/>
        </w:rPr>
        <w:t xml:space="preserve">Scopus. </w:t>
      </w:r>
      <w:r>
        <w:rPr>
          <w:rFonts w:ascii="Garamond" w:eastAsia="Garamond" w:hAnsi="Garamond" w:cs="Garamond"/>
          <w:sz w:val="24"/>
          <w:szCs w:val="24"/>
        </w:rPr>
        <w:t>Pese a la importancia que ha tenido el posicionamientos de las revistas institu</w:t>
      </w:r>
      <w:r>
        <w:rPr>
          <w:rFonts w:ascii="Garamond" w:eastAsia="Garamond" w:hAnsi="Garamond" w:cs="Garamond"/>
          <w:sz w:val="24"/>
          <w:szCs w:val="24"/>
        </w:rPr>
        <w:t>cionales, es necesario elaborar análisis de impacto (bibliométricos y cienciométricos) que permitan el mejoramiento de los indicadores de citación y colaboración para lograr así una mayor visibilidad y reputación de la investigación de la institución. Igua</w:t>
      </w:r>
      <w:r>
        <w:rPr>
          <w:rFonts w:ascii="Garamond" w:eastAsia="Garamond" w:hAnsi="Garamond" w:cs="Garamond"/>
          <w:sz w:val="24"/>
          <w:szCs w:val="24"/>
        </w:rPr>
        <w:t xml:space="preserve">l importancia reviste realizar este análisis teniendo en cuenta las citaciones por docente investigador y su respectivo índice H.  </w:t>
      </w:r>
      <w:r>
        <w:rPr>
          <w:rFonts w:ascii="Garamond" w:eastAsia="Garamond" w:hAnsi="Garamond" w:cs="Garamond"/>
          <w:i/>
          <w:sz w:val="24"/>
          <w:szCs w:val="24"/>
        </w:rPr>
        <w:t xml:space="preserve"> </w:t>
      </w:r>
    </w:p>
    <w:p w14:paraId="5BA58A2B" w14:textId="77777777" w:rsidR="002B1F19" w:rsidRDefault="002B1F19">
      <w:pPr>
        <w:jc w:val="both"/>
        <w:rPr>
          <w:rFonts w:ascii="Garamond" w:eastAsia="Garamond" w:hAnsi="Garamond" w:cs="Garamond"/>
          <w:sz w:val="24"/>
          <w:szCs w:val="24"/>
        </w:rPr>
      </w:pPr>
    </w:p>
    <w:tbl>
      <w:tblPr>
        <w:tblStyle w:val="a2"/>
        <w:tblW w:w="83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80"/>
        <w:gridCol w:w="1905"/>
        <w:gridCol w:w="1440"/>
      </w:tblGrid>
      <w:tr w:rsidR="002B1F19" w14:paraId="64ED763E" w14:textId="77777777">
        <w:trPr>
          <w:trHeight w:val="300"/>
        </w:trPr>
        <w:tc>
          <w:tcPr>
            <w:tcW w:w="4980" w:type="dxa"/>
            <w:tcBorders>
              <w:top w:val="single" w:sz="6" w:space="0" w:color="000000"/>
              <w:left w:val="single" w:sz="6" w:space="0" w:color="000000"/>
              <w:bottom w:val="single" w:sz="6" w:space="0" w:color="000000"/>
              <w:right w:val="single" w:sz="6" w:space="0" w:color="000000"/>
            </w:tcBorders>
            <w:shd w:val="clear" w:color="auto" w:fill="F7CB4D"/>
            <w:tcMar>
              <w:top w:w="0" w:type="dxa"/>
              <w:left w:w="40" w:type="dxa"/>
              <w:bottom w:w="0" w:type="dxa"/>
              <w:right w:w="40" w:type="dxa"/>
            </w:tcMar>
            <w:vAlign w:val="bottom"/>
          </w:tcPr>
          <w:p w14:paraId="78B28DC0" w14:textId="77777777" w:rsidR="002B1F19" w:rsidRDefault="00F80E55">
            <w:pPr>
              <w:widowControl w:val="0"/>
              <w:rPr>
                <w:rFonts w:ascii="Garamond" w:eastAsia="Garamond" w:hAnsi="Garamond" w:cs="Garamond"/>
              </w:rPr>
            </w:pPr>
            <w:r>
              <w:rPr>
                <w:rFonts w:ascii="Garamond" w:eastAsia="Garamond" w:hAnsi="Garamond" w:cs="Garamond"/>
                <w:b/>
              </w:rPr>
              <w:t>Nombre de la Revista</w:t>
            </w:r>
          </w:p>
        </w:tc>
        <w:tc>
          <w:tcPr>
            <w:tcW w:w="1905" w:type="dxa"/>
            <w:tcBorders>
              <w:top w:val="single" w:sz="6" w:space="0" w:color="000000"/>
              <w:left w:val="single" w:sz="6" w:space="0" w:color="CCCCCC"/>
              <w:bottom w:val="single" w:sz="6" w:space="0" w:color="000000"/>
              <w:right w:val="single" w:sz="6" w:space="0" w:color="000000"/>
            </w:tcBorders>
            <w:shd w:val="clear" w:color="auto" w:fill="F7CB4D"/>
            <w:tcMar>
              <w:top w:w="0" w:type="dxa"/>
              <w:left w:w="40" w:type="dxa"/>
              <w:bottom w:w="0" w:type="dxa"/>
              <w:right w:w="40" w:type="dxa"/>
            </w:tcMar>
            <w:vAlign w:val="bottom"/>
          </w:tcPr>
          <w:p w14:paraId="74F501CC" w14:textId="77777777" w:rsidR="002B1F19" w:rsidRDefault="00F80E55">
            <w:pPr>
              <w:widowControl w:val="0"/>
              <w:rPr>
                <w:rFonts w:ascii="Garamond" w:eastAsia="Garamond" w:hAnsi="Garamond" w:cs="Garamond"/>
              </w:rPr>
            </w:pPr>
            <w:r>
              <w:rPr>
                <w:rFonts w:ascii="Garamond" w:eastAsia="Garamond" w:hAnsi="Garamond" w:cs="Garamond"/>
                <w:b/>
              </w:rPr>
              <w:t>Año indexación en Scopus</w:t>
            </w:r>
          </w:p>
        </w:tc>
        <w:tc>
          <w:tcPr>
            <w:tcW w:w="1440" w:type="dxa"/>
            <w:tcBorders>
              <w:top w:val="single" w:sz="6" w:space="0" w:color="000000"/>
              <w:left w:val="single" w:sz="6" w:space="0" w:color="CCCCCC"/>
              <w:bottom w:val="single" w:sz="6" w:space="0" w:color="000000"/>
              <w:right w:val="single" w:sz="6" w:space="0" w:color="000000"/>
            </w:tcBorders>
            <w:shd w:val="clear" w:color="auto" w:fill="F7CB4D"/>
            <w:tcMar>
              <w:top w:w="0" w:type="dxa"/>
              <w:left w:w="40" w:type="dxa"/>
              <w:bottom w:w="0" w:type="dxa"/>
              <w:right w:w="40" w:type="dxa"/>
            </w:tcMar>
            <w:vAlign w:val="bottom"/>
          </w:tcPr>
          <w:p w14:paraId="7652E378" w14:textId="77777777" w:rsidR="002B1F19" w:rsidRDefault="00F80E55">
            <w:pPr>
              <w:widowControl w:val="0"/>
              <w:rPr>
                <w:rFonts w:ascii="Garamond" w:eastAsia="Garamond" w:hAnsi="Garamond" w:cs="Garamond"/>
                <w:b/>
              </w:rPr>
            </w:pPr>
            <w:r>
              <w:rPr>
                <w:rFonts w:ascii="Garamond" w:eastAsia="Garamond" w:hAnsi="Garamond" w:cs="Garamond"/>
                <w:b/>
              </w:rPr>
              <w:t>Índice H de la revista</w:t>
            </w:r>
          </w:p>
        </w:tc>
      </w:tr>
      <w:tr w:rsidR="002B1F19" w14:paraId="23121E6C" w14:textId="77777777">
        <w:trPr>
          <w:trHeight w:val="300"/>
        </w:trPr>
        <w:tc>
          <w:tcPr>
            <w:tcW w:w="498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4DE07E9" w14:textId="77777777" w:rsidR="002B1F19" w:rsidRDefault="00F80E55">
            <w:pPr>
              <w:widowControl w:val="0"/>
              <w:rPr>
                <w:rFonts w:ascii="Garamond" w:eastAsia="Garamond" w:hAnsi="Garamond" w:cs="Garamond"/>
              </w:rPr>
            </w:pPr>
            <w:r>
              <w:rPr>
                <w:rFonts w:ascii="Garamond" w:eastAsia="Garamond" w:hAnsi="Garamond" w:cs="Garamond"/>
                <w:i/>
              </w:rPr>
              <w:t>Kepes</w:t>
            </w:r>
          </w:p>
        </w:tc>
        <w:tc>
          <w:tcPr>
            <w:tcW w:w="19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4E231E3" w14:textId="77777777" w:rsidR="002B1F19" w:rsidRDefault="00F80E55">
            <w:pPr>
              <w:widowControl w:val="0"/>
              <w:rPr>
                <w:rFonts w:ascii="Garamond" w:eastAsia="Garamond" w:hAnsi="Garamond" w:cs="Garamond"/>
              </w:rPr>
            </w:pPr>
            <w:r>
              <w:rPr>
                <w:rFonts w:ascii="Garamond" w:eastAsia="Garamond" w:hAnsi="Garamond" w:cs="Garamond"/>
              </w:rPr>
              <w:t>2011</w:t>
            </w:r>
          </w:p>
        </w:tc>
        <w:tc>
          <w:tcPr>
            <w:tcW w:w="14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4A0ACCE" w14:textId="77777777" w:rsidR="002B1F19" w:rsidRDefault="002B1F19">
            <w:pPr>
              <w:widowControl w:val="0"/>
              <w:rPr>
                <w:rFonts w:ascii="Garamond" w:eastAsia="Garamond" w:hAnsi="Garamond" w:cs="Garamond"/>
              </w:rPr>
            </w:pPr>
          </w:p>
        </w:tc>
      </w:tr>
      <w:tr w:rsidR="002B1F19" w14:paraId="08E90E59" w14:textId="77777777">
        <w:trPr>
          <w:trHeight w:val="300"/>
        </w:trPr>
        <w:tc>
          <w:tcPr>
            <w:tcW w:w="4980" w:type="dxa"/>
            <w:tcBorders>
              <w:top w:val="single" w:sz="6" w:space="0" w:color="CCCCCC"/>
              <w:left w:val="single" w:sz="6" w:space="0" w:color="000000"/>
              <w:bottom w:val="single" w:sz="6" w:space="0" w:color="000000"/>
              <w:right w:val="single" w:sz="6" w:space="0" w:color="000000"/>
            </w:tcBorders>
            <w:shd w:val="clear" w:color="auto" w:fill="FEF8E3"/>
            <w:tcMar>
              <w:top w:w="0" w:type="dxa"/>
              <w:left w:w="40" w:type="dxa"/>
              <w:bottom w:w="0" w:type="dxa"/>
              <w:right w:w="40" w:type="dxa"/>
            </w:tcMar>
            <w:vAlign w:val="bottom"/>
          </w:tcPr>
          <w:p w14:paraId="0925E8EF" w14:textId="77777777" w:rsidR="002B1F19" w:rsidRDefault="00F80E55">
            <w:pPr>
              <w:widowControl w:val="0"/>
              <w:rPr>
                <w:rFonts w:ascii="Garamond" w:eastAsia="Garamond" w:hAnsi="Garamond" w:cs="Garamond"/>
              </w:rPr>
            </w:pPr>
            <w:r>
              <w:rPr>
                <w:rFonts w:ascii="Garamond" w:eastAsia="Garamond" w:hAnsi="Garamond" w:cs="Garamond"/>
                <w:i/>
              </w:rPr>
              <w:t>Jurídicas</w:t>
            </w:r>
          </w:p>
        </w:tc>
        <w:tc>
          <w:tcPr>
            <w:tcW w:w="1905" w:type="dxa"/>
            <w:tcBorders>
              <w:top w:val="single" w:sz="6" w:space="0" w:color="CCCCCC"/>
              <w:left w:val="single" w:sz="6" w:space="0" w:color="CCCCCC"/>
              <w:bottom w:val="single" w:sz="6" w:space="0" w:color="000000"/>
              <w:right w:val="single" w:sz="6" w:space="0" w:color="000000"/>
            </w:tcBorders>
            <w:shd w:val="clear" w:color="auto" w:fill="FEF8E3"/>
            <w:tcMar>
              <w:top w:w="0" w:type="dxa"/>
              <w:left w:w="40" w:type="dxa"/>
              <w:bottom w:w="0" w:type="dxa"/>
              <w:right w:w="40" w:type="dxa"/>
            </w:tcMar>
            <w:vAlign w:val="bottom"/>
          </w:tcPr>
          <w:p w14:paraId="0E65C82F" w14:textId="77777777" w:rsidR="002B1F19" w:rsidRDefault="00F80E55">
            <w:pPr>
              <w:widowControl w:val="0"/>
              <w:rPr>
                <w:rFonts w:ascii="Garamond" w:eastAsia="Garamond" w:hAnsi="Garamond" w:cs="Garamond"/>
              </w:rPr>
            </w:pPr>
            <w:r>
              <w:rPr>
                <w:rFonts w:ascii="Garamond" w:eastAsia="Garamond" w:hAnsi="Garamond" w:cs="Garamond"/>
              </w:rPr>
              <w:t>2012</w:t>
            </w:r>
          </w:p>
        </w:tc>
        <w:tc>
          <w:tcPr>
            <w:tcW w:w="1440" w:type="dxa"/>
            <w:tcBorders>
              <w:top w:val="single" w:sz="6" w:space="0" w:color="CCCCCC"/>
              <w:left w:val="single" w:sz="6" w:space="0" w:color="CCCCCC"/>
              <w:bottom w:val="single" w:sz="6" w:space="0" w:color="000000"/>
              <w:right w:val="single" w:sz="6" w:space="0" w:color="000000"/>
            </w:tcBorders>
            <w:shd w:val="clear" w:color="auto" w:fill="FEF8E3"/>
            <w:tcMar>
              <w:top w:w="0" w:type="dxa"/>
              <w:left w:w="40" w:type="dxa"/>
              <w:bottom w:w="0" w:type="dxa"/>
              <w:right w:w="40" w:type="dxa"/>
            </w:tcMar>
            <w:vAlign w:val="bottom"/>
          </w:tcPr>
          <w:p w14:paraId="71BD5EC1" w14:textId="77777777" w:rsidR="002B1F19" w:rsidRDefault="002B1F19">
            <w:pPr>
              <w:widowControl w:val="0"/>
              <w:rPr>
                <w:rFonts w:ascii="Garamond" w:eastAsia="Garamond" w:hAnsi="Garamond" w:cs="Garamond"/>
              </w:rPr>
            </w:pPr>
          </w:p>
        </w:tc>
      </w:tr>
      <w:tr w:rsidR="002B1F19" w14:paraId="5EECA36A" w14:textId="77777777">
        <w:trPr>
          <w:trHeight w:val="300"/>
        </w:trPr>
        <w:tc>
          <w:tcPr>
            <w:tcW w:w="498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FD82619" w14:textId="77777777" w:rsidR="002B1F19" w:rsidRDefault="00F80E55">
            <w:pPr>
              <w:widowControl w:val="0"/>
              <w:rPr>
                <w:rFonts w:ascii="Garamond" w:eastAsia="Garamond" w:hAnsi="Garamond" w:cs="Garamond"/>
              </w:rPr>
            </w:pPr>
            <w:r>
              <w:rPr>
                <w:rFonts w:ascii="Garamond" w:eastAsia="Garamond" w:hAnsi="Garamond" w:cs="Garamond"/>
                <w:i/>
              </w:rPr>
              <w:t>Discusiones Filosóficas</w:t>
            </w:r>
          </w:p>
        </w:tc>
        <w:tc>
          <w:tcPr>
            <w:tcW w:w="19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23A8F02" w14:textId="77777777" w:rsidR="002B1F19" w:rsidRDefault="00F80E55">
            <w:pPr>
              <w:widowControl w:val="0"/>
              <w:rPr>
                <w:rFonts w:ascii="Garamond" w:eastAsia="Garamond" w:hAnsi="Garamond" w:cs="Garamond"/>
              </w:rPr>
            </w:pPr>
            <w:r>
              <w:rPr>
                <w:rFonts w:ascii="Garamond" w:eastAsia="Garamond" w:hAnsi="Garamond" w:cs="Garamond"/>
              </w:rPr>
              <w:t>2013</w:t>
            </w:r>
          </w:p>
        </w:tc>
        <w:tc>
          <w:tcPr>
            <w:tcW w:w="14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B8D185E" w14:textId="77777777" w:rsidR="002B1F19" w:rsidRDefault="002B1F19">
            <w:pPr>
              <w:widowControl w:val="0"/>
              <w:rPr>
                <w:rFonts w:ascii="Garamond" w:eastAsia="Garamond" w:hAnsi="Garamond" w:cs="Garamond"/>
              </w:rPr>
            </w:pPr>
          </w:p>
        </w:tc>
      </w:tr>
      <w:tr w:rsidR="002B1F19" w14:paraId="78ECEDBD" w14:textId="77777777">
        <w:trPr>
          <w:trHeight w:val="540"/>
        </w:trPr>
        <w:tc>
          <w:tcPr>
            <w:tcW w:w="4980" w:type="dxa"/>
            <w:tcBorders>
              <w:top w:val="single" w:sz="6" w:space="0" w:color="CCCCCC"/>
              <w:left w:val="single" w:sz="6" w:space="0" w:color="000000"/>
              <w:bottom w:val="single" w:sz="6" w:space="0" w:color="000000"/>
              <w:right w:val="single" w:sz="6" w:space="0" w:color="000000"/>
            </w:tcBorders>
            <w:shd w:val="clear" w:color="auto" w:fill="FEF8E3"/>
            <w:tcMar>
              <w:top w:w="0" w:type="dxa"/>
              <w:left w:w="40" w:type="dxa"/>
              <w:bottom w:w="0" w:type="dxa"/>
              <w:right w:w="40" w:type="dxa"/>
            </w:tcMar>
            <w:vAlign w:val="bottom"/>
          </w:tcPr>
          <w:p w14:paraId="37460E79" w14:textId="77777777" w:rsidR="002B1F19" w:rsidRDefault="00F80E55">
            <w:pPr>
              <w:widowControl w:val="0"/>
              <w:rPr>
                <w:rFonts w:ascii="Garamond" w:eastAsia="Garamond" w:hAnsi="Garamond" w:cs="Garamond"/>
              </w:rPr>
            </w:pPr>
            <w:r>
              <w:rPr>
                <w:rFonts w:ascii="Garamond" w:eastAsia="Garamond" w:hAnsi="Garamond" w:cs="Garamond"/>
                <w:i/>
              </w:rPr>
              <w:t>Boletín Científico. Centro de Museos. Museo de Historia Natural</w:t>
            </w:r>
          </w:p>
        </w:tc>
        <w:tc>
          <w:tcPr>
            <w:tcW w:w="1905" w:type="dxa"/>
            <w:tcBorders>
              <w:top w:val="single" w:sz="6" w:space="0" w:color="CCCCCC"/>
              <w:left w:val="single" w:sz="6" w:space="0" w:color="CCCCCC"/>
              <w:bottom w:val="single" w:sz="6" w:space="0" w:color="000000"/>
              <w:right w:val="single" w:sz="6" w:space="0" w:color="000000"/>
            </w:tcBorders>
            <w:shd w:val="clear" w:color="auto" w:fill="FEF8E3"/>
            <w:tcMar>
              <w:top w:w="0" w:type="dxa"/>
              <w:left w:w="40" w:type="dxa"/>
              <w:bottom w:w="0" w:type="dxa"/>
              <w:right w:w="40" w:type="dxa"/>
            </w:tcMar>
            <w:vAlign w:val="bottom"/>
          </w:tcPr>
          <w:p w14:paraId="15A60031" w14:textId="77777777" w:rsidR="002B1F19" w:rsidRDefault="00F80E55">
            <w:pPr>
              <w:widowControl w:val="0"/>
              <w:rPr>
                <w:rFonts w:ascii="Garamond" w:eastAsia="Garamond" w:hAnsi="Garamond" w:cs="Garamond"/>
              </w:rPr>
            </w:pPr>
            <w:r>
              <w:rPr>
                <w:rFonts w:ascii="Garamond" w:eastAsia="Garamond" w:hAnsi="Garamond" w:cs="Garamond"/>
              </w:rPr>
              <w:t>2014</w:t>
            </w:r>
          </w:p>
        </w:tc>
        <w:tc>
          <w:tcPr>
            <w:tcW w:w="1440" w:type="dxa"/>
            <w:tcBorders>
              <w:top w:val="single" w:sz="6" w:space="0" w:color="CCCCCC"/>
              <w:left w:val="single" w:sz="6" w:space="0" w:color="CCCCCC"/>
              <w:bottom w:val="single" w:sz="6" w:space="0" w:color="000000"/>
              <w:right w:val="single" w:sz="6" w:space="0" w:color="000000"/>
            </w:tcBorders>
            <w:shd w:val="clear" w:color="auto" w:fill="FEF8E3"/>
            <w:tcMar>
              <w:top w:w="0" w:type="dxa"/>
              <w:left w:w="40" w:type="dxa"/>
              <w:bottom w:w="0" w:type="dxa"/>
              <w:right w:w="40" w:type="dxa"/>
            </w:tcMar>
            <w:vAlign w:val="bottom"/>
          </w:tcPr>
          <w:p w14:paraId="1C620F2D" w14:textId="77777777" w:rsidR="002B1F19" w:rsidRDefault="002B1F19">
            <w:pPr>
              <w:widowControl w:val="0"/>
              <w:rPr>
                <w:rFonts w:ascii="Garamond" w:eastAsia="Garamond" w:hAnsi="Garamond" w:cs="Garamond"/>
              </w:rPr>
            </w:pPr>
          </w:p>
        </w:tc>
      </w:tr>
      <w:tr w:rsidR="002B1F19" w14:paraId="78B68AC2" w14:textId="77777777">
        <w:trPr>
          <w:trHeight w:val="300"/>
        </w:trPr>
        <w:tc>
          <w:tcPr>
            <w:tcW w:w="498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46954EF" w14:textId="77777777" w:rsidR="002B1F19" w:rsidRDefault="00F80E55">
            <w:pPr>
              <w:widowControl w:val="0"/>
              <w:rPr>
                <w:rFonts w:ascii="Garamond" w:eastAsia="Garamond" w:hAnsi="Garamond" w:cs="Garamond"/>
              </w:rPr>
            </w:pPr>
            <w:r>
              <w:rPr>
                <w:rFonts w:ascii="Garamond" w:eastAsia="Garamond" w:hAnsi="Garamond" w:cs="Garamond"/>
                <w:i/>
              </w:rPr>
              <w:t>Luna Azul (On Line)</w:t>
            </w:r>
          </w:p>
        </w:tc>
        <w:tc>
          <w:tcPr>
            <w:tcW w:w="19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7EC369B" w14:textId="77777777" w:rsidR="002B1F19" w:rsidRDefault="00F80E55">
            <w:pPr>
              <w:widowControl w:val="0"/>
              <w:rPr>
                <w:rFonts w:ascii="Garamond" w:eastAsia="Garamond" w:hAnsi="Garamond" w:cs="Garamond"/>
              </w:rPr>
            </w:pPr>
            <w:r>
              <w:rPr>
                <w:rFonts w:ascii="Garamond" w:eastAsia="Garamond" w:hAnsi="Garamond" w:cs="Garamond"/>
              </w:rPr>
              <w:t>2017</w:t>
            </w:r>
          </w:p>
        </w:tc>
        <w:tc>
          <w:tcPr>
            <w:tcW w:w="14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BF7B3B9" w14:textId="77777777" w:rsidR="002B1F19" w:rsidRDefault="002B1F19">
            <w:pPr>
              <w:widowControl w:val="0"/>
              <w:rPr>
                <w:rFonts w:ascii="Garamond" w:eastAsia="Garamond" w:hAnsi="Garamond" w:cs="Garamond"/>
              </w:rPr>
            </w:pPr>
          </w:p>
        </w:tc>
      </w:tr>
      <w:tr w:rsidR="002B1F19" w14:paraId="21441B01" w14:textId="77777777">
        <w:trPr>
          <w:trHeight w:val="300"/>
        </w:trPr>
        <w:tc>
          <w:tcPr>
            <w:tcW w:w="4980" w:type="dxa"/>
            <w:tcBorders>
              <w:top w:val="single" w:sz="6" w:space="0" w:color="CCCCCC"/>
              <w:left w:val="single" w:sz="6" w:space="0" w:color="000000"/>
              <w:bottom w:val="single" w:sz="6" w:space="0" w:color="000000"/>
              <w:right w:val="single" w:sz="6" w:space="0" w:color="000000"/>
            </w:tcBorders>
            <w:shd w:val="clear" w:color="auto" w:fill="FEF8E3"/>
            <w:tcMar>
              <w:top w:w="0" w:type="dxa"/>
              <w:left w:w="40" w:type="dxa"/>
              <w:bottom w:w="0" w:type="dxa"/>
              <w:right w:w="40" w:type="dxa"/>
            </w:tcMar>
            <w:vAlign w:val="bottom"/>
          </w:tcPr>
          <w:p w14:paraId="0DF62A6B" w14:textId="77777777" w:rsidR="002B1F19" w:rsidRDefault="00F80E55">
            <w:pPr>
              <w:widowControl w:val="0"/>
              <w:rPr>
                <w:rFonts w:ascii="Garamond" w:eastAsia="Garamond" w:hAnsi="Garamond" w:cs="Garamond"/>
              </w:rPr>
            </w:pPr>
            <w:r>
              <w:rPr>
                <w:rFonts w:ascii="Garamond" w:eastAsia="Garamond" w:hAnsi="Garamond" w:cs="Garamond"/>
                <w:i/>
              </w:rPr>
              <w:t>Biosalud</w:t>
            </w:r>
          </w:p>
        </w:tc>
        <w:tc>
          <w:tcPr>
            <w:tcW w:w="1905" w:type="dxa"/>
            <w:tcBorders>
              <w:top w:val="single" w:sz="6" w:space="0" w:color="CCCCCC"/>
              <w:left w:val="single" w:sz="6" w:space="0" w:color="CCCCCC"/>
              <w:bottom w:val="single" w:sz="6" w:space="0" w:color="000000"/>
              <w:right w:val="single" w:sz="6" w:space="0" w:color="000000"/>
            </w:tcBorders>
            <w:shd w:val="clear" w:color="auto" w:fill="FEF8E3"/>
            <w:tcMar>
              <w:top w:w="0" w:type="dxa"/>
              <w:left w:w="40" w:type="dxa"/>
              <w:bottom w:w="0" w:type="dxa"/>
              <w:right w:w="40" w:type="dxa"/>
            </w:tcMar>
            <w:vAlign w:val="bottom"/>
          </w:tcPr>
          <w:p w14:paraId="37C5FAC0" w14:textId="77777777" w:rsidR="002B1F19" w:rsidRDefault="00F80E55">
            <w:pPr>
              <w:widowControl w:val="0"/>
              <w:rPr>
                <w:rFonts w:ascii="Garamond" w:eastAsia="Garamond" w:hAnsi="Garamond" w:cs="Garamond"/>
              </w:rPr>
            </w:pPr>
            <w:r>
              <w:rPr>
                <w:rFonts w:ascii="Garamond" w:eastAsia="Garamond" w:hAnsi="Garamond" w:cs="Garamond"/>
              </w:rPr>
              <w:t>2018</w:t>
            </w:r>
          </w:p>
        </w:tc>
        <w:tc>
          <w:tcPr>
            <w:tcW w:w="1440" w:type="dxa"/>
            <w:tcBorders>
              <w:top w:val="single" w:sz="6" w:space="0" w:color="CCCCCC"/>
              <w:left w:val="single" w:sz="6" w:space="0" w:color="CCCCCC"/>
              <w:bottom w:val="single" w:sz="6" w:space="0" w:color="000000"/>
              <w:right w:val="single" w:sz="6" w:space="0" w:color="000000"/>
            </w:tcBorders>
            <w:shd w:val="clear" w:color="auto" w:fill="FEF8E3"/>
            <w:tcMar>
              <w:top w:w="0" w:type="dxa"/>
              <w:left w:w="40" w:type="dxa"/>
              <w:bottom w:w="0" w:type="dxa"/>
              <w:right w:w="40" w:type="dxa"/>
            </w:tcMar>
            <w:vAlign w:val="bottom"/>
          </w:tcPr>
          <w:p w14:paraId="41317436" w14:textId="77777777" w:rsidR="002B1F19" w:rsidRDefault="002B1F19">
            <w:pPr>
              <w:widowControl w:val="0"/>
              <w:rPr>
                <w:rFonts w:ascii="Garamond" w:eastAsia="Garamond" w:hAnsi="Garamond" w:cs="Garamond"/>
              </w:rPr>
            </w:pPr>
          </w:p>
        </w:tc>
      </w:tr>
    </w:tbl>
    <w:p w14:paraId="4CCCB19B" w14:textId="77777777" w:rsidR="002B1F19" w:rsidRDefault="002B1F19">
      <w:pPr>
        <w:jc w:val="both"/>
        <w:rPr>
          <w:rFonts w:ascii="Garamond" w:eastAsia="Garamond" w:hAnsi="Garamond" w:cs="Garamond"/>
          <w:sz w:val="24"/>
          <w:szCs w:val="24"/>
        </w:rPr>
      </w:pPr>
    </w:p>
    <w:p w14:paraId="63C662A5" w14:textId="77777777" w:rsidR="002B1F19" w:rsidRDefault="002B1F19">
      <w:pPr>
        <w:jc w:val="both"/>
        <w:rPr>
          <w:rFonts w:ascii="Garamond" w:eastAsia="Garamond" w:hAnsi="Garamond" w:cs="Garamond"/>
          <w:sz w:val="24"/>
          <w:szCs w:val="24"/>
        </w:rPr>
      </w:pPr>
    </w:p>
    <w:p w14:paraId="4CC33DE4" w14:textId="77777777" w:rsidR="002B1F19" w:rsidRDefault="002B1F19">
      <w:pPr>
        <w:jc w:val="both"/>
        <w:rPr>
          <w:rFonts w:ascii="Garamond" w:eastAsia="Garamond" w:hAnsi="Garamond" w:cs="Garamond"/>
          <w:sz w:val="24"/>
          <w:szCs w:val="24"/>
        </w:rPr>
      </w:pPr>
    </w:p>
    <w:p w14:paraId="792A2785" w14:textId="77777777" w:rsidR="002B1F19" w:rsidRDefault="002B1F19">
      <w:pPr>
        <w:jc w:val="both"/>
        <w:rPr>
          <w:rFonts w:ascii="Garamond" w:eastAsia="Garamond" w:hAnsi="Garamond" w:cs="Garamond"/>
          <w:sz w:val="24"/>
          <w:szCs w:val="24"/>
        </w:rPr>
      </w:pPr>
    </w:p>
    <w:p w14:paraId="613B1565" w14:textId="77777777" w:rsidR="002B1F19" w:rsidRDefault="00F80E55">
      <w:pPr>
        <w:jc w:val="both"/>
        <w:rPr>
          <w:rFonts w:ascii="Garamond" w:eastAsia="Garamond" w:hAnsi="Garamond" w:cs="Garamond"/>
          <w:i/>
          <w:sz w:val="24"/>
          <w:szCs w:val="24"/>
        </w:rPr>
      </w:pPr>
      <w:r>
        <w:rPr>
          <w:rFonts w:ascii="Garamond" w:eastAsia="Garamond" w:hAnsi="Garamond" w:cs="Garamond"/>
          <w:i/>
          <w:sz w:val="24"/>
          <w:szCs w:val="24"/>
        </w:rPr>
        <w:t>Participación en publicaciones indexadas</w:t>
      </w:r>
    </w:p>
    <w:p w14:paraId="32B0BC1A" w14:textId="77777777" w:rsidR="002B1F19" w:rsidRDefault="002B1F19">
      <w:pPr>
        <w:jc w:val="both"/>
        <w:rPr>
          <w:rFonts w:ascii="Garamond" w:eastAsia="Garamond" w:hAnsi="Garamond" w:cs="Garamond"/>
          <w:i/>
          <w:sz w:val="24"/>
          <w:szCs w:val="24"/>
        </w:rPr>
      </w:pPr>
    </w:p>
    <w:p w14:paraId="412D0750"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 xml:space="preserve">Entre el año 2009 y el año 2018, la institución registra un incremento en el número de publicaciones indexadas que representa un incremento del 332,5% según reporte obtenido de la “colección principal” de </w:t>
      </w:r>
      <w:r>
        <w:rPr>
          <w:rFonts w:ascii="Garamond" w:eastAsia="Garamond" w:hAnsi="Garamond" w:cs="Garamond"/>
          <w:i/>
          <w:sz w:val="24"/>
          <w:szCs w:val="24"/>
        </w:rPr>
        <w:t xml:space="preserve">Web of science </w:t>
      </w:r>
      <w:r>
        <w:rPr>
          <w:rFonts w:ascii="Garamond" w:eastAsia="Garamond" w:hAnsi="Garamond" w:cs="Garamond"/>
          <w:sz w:val="24"/>
          <w:szCs w:val="24"/>
        </w:rPr>
        <w:t>(WOS)</w:t>
      </w:r>
      <w:r>
        <w:rPr>
          <w:rFonts w:ascii="Garamond" w:eastAsia="Garamond" w:hAnsi="Garamond" w:cs="Garamond"/>
          <w:i/>
          <w:sz w:val="24"/>
          <w:szCs w:val="24"/>
        </w:rPr>
        <w:t xml:space="preserve">. </w:t>
      </w:r>
      <w:r>
        <w:rPr>
          <w:rFonts w:ascii="Garamond" w:eastAsia="Garamond" w:hAnsi="Garamond" w:cs="Garamond"/>
          <w:sz w:val="24"/>
          <w:szCs w:val="24"/>
        </w:rPr>
        <w:t>Este crecimiento es similar a</w:t>
      </w:r>
      <w:r>
        <w:rPr>
          <w:rFonts w:ascii="Garamond" w:eastAsia="Garamond" w:hAnsi="Garamond" w:cs="Garamond"/>
          <w:sz w:val="24"/>
          <w:szCs w:val="24"/>
        </w:rPr>
        <w:t xml:space="preserve">l reportado por </w:t>
      </w:r>
      <w:r>
        <w:rPr>
          <w:rFonts w:ascii="Garamond" w:eastAsia="Garamond" w:hAnsi="Garamond" w:cs="Garamond"/>
          <w:i/>
          <w:sz w:val="24"/>
          <w:szCs w:val="24"/>
        </w:rPr>
        <w:t xml:space="preserve">Scopus, </w:t>
      </w:r>
      <w:r>
        <w:rPr>
          <w:rFonts w:ascii="Garamond" w:eastAsia="Garamond" w:hAnsi="Garamond" w:cs="Garamond"/>
          <w:sz w:val="24"/>
          <w:szCs w:val="24"/>
        </w:rPr>
        <w:t xml:space="preserve">que muestra </w:t>
      </w:r>
      <w:r>
        <w:rPr>
          <w:rFonts w:ascii="Garamond" w:eastAsia="Garamond" w:hAnsi="Garamond" w:cs="Garamond"/>
          <w:sz w:val="24"/>
          <w:szCs w:val="24"/>
        </w:rPr>
        <w:lastRenderedPageBreak/>
        <w:t>un incremento del 333,3% para el mismo período. Cabe destacar que esta tendencia se registra, principalmente, a partir del año 2015. No obstante, este comportamiento se ha estabilizado a partir de ese último año lo que c</w:t>
      </w:r>
      <w:r>
        <w:rPr>
          <w:rFonts w:ascii="Garamond" w:eastAsia="Garamond" w:hAnsi="Garamond" w:cs="Garamond"/>
          <w:sz w:val="24"/>
          <w:szCs w:val="24"/>
        </w:rPr>
        <w:t xml:space="preserve">onduce a plantear la necesidad de realizar acciones de vigilancia y seguimiento a las publicaciones científicas de la institución con el fin de definir estrategias orientadas a lograr una mayor visibilidad e impacto de la investigación. </w:t>
      </w:r>
    </w:p>
    <w:p w14:paraId="777E680B" w14:textId="77777777" w:rsidR="002B1F19" w:rsidRDefault="002B1F19">
      <w:pPr>
        <w:jc w:val="both"/>
        <w:rPr>
          <w:rFonts w:ascii="Garamond" w:eastAsia="Garamond" w:hAnsi="Garamond" w:cs="Garamond"/>
          <w:sz w:val="24"/>
          <w:szCs w:val="24"/>
        </w:rPr>
      </w:pPr>
    </w:p>
    <w:p w14:paraId="476A61FC" w14:textId="77777777" w:rsidR="002B1F19" w:rsidRDefault="00F80E55">
      <w:pPr>
        <w:jc w:val="center"/>
        <w:rPr>
          <w:rFonts w:ascii="Garamond" w:eastAsia="Garamond" w:hAnsi="Garamond" w:cs="Garamond"/>
          <w:sz w:val="24"/>
          <w:szCs w:val="24"/>
        </w:rPr>
      </w:pPr>
      <w:r>
        <w:rPr>
          <w:rFonts w:ascii="Garamond" w:eastAsia="Garamond" w:hAnsi="Garamond" w:cs="Garamond"/>
          <w:noProof/>
          <w:sz w:val="24"/>
          <w:szCs w:val="24"/>
        </w:rPr>
        <w:drawing>
          <wp:inline distT="114300" distB="114300" distL="114300" distR="114300" wp14:anchorId="2A56F0D6" wp14:editId="64620267">
            <wp:extent cx="4382453" cy="2711254"/>
            <wp:effectExtent l="0" t="0" r="0" b="0"/>
            <wp:docPr id="22" name="image18.png" descr="Gráfico"/>
            <wp:cNvGraphicFramePr/>
            <a:graphic xmlns:a="http://schemas.openxmlformats.org/drawingml/2006/main">
              <a:graphicData uri="http://schemas.openxmlformats.org/drawingml/2006/picture">
                <pic:pic xmlns:pic="http://schemas.openxmlformats.org/drawingml/2006/picture">
                  <pic:nvPicPr>
                    <pic:cNvPr id="0" name="image18.png" descr="Gráfico"/>
                    <pic:cNvPicPr preferRelativeResize="0"/>
                  </pic:nvPicPr>
                  <pic:blipFill>
                    <a:blip r:embed="rId31"/>
                    <a:srcRect/>
                    <a:stretch>
                      <a:fillRect/>
                    </a:stretch>
                  </pic:blipFill>
                  <pic:spPr>
                    <a:xfrm>
                      <a:off x="0" y="0"/>
                      <a:ext cx="4382453" cy="2711254"/>
                    </a:xfrm>
                    <a:prstGeom prst="rect">
                      <a:avLst/>
                    </a:prstGeom>
                    <a:ln/>
                  </pic:spPr>
                </pic:pic>
              </a:graphicData>
            </a:graphic>
          </wp:inline>
        </w:drawing>
      </w:r>
    </w:p>
    <w:p w14:paraId="573DE147" w14:textId="77777777" w:rsidR="002B1F19" w:rsidRDefault="00F80E55">
      <w:pPr>
        <w:jc w:val="center"/>
        <w:rPr>
          <w:rFonts w:ascii="Garamond" w:eastAsia="Garamond" w:hAnsi="Garamond" w:cs="Garamond"/>
          <w:sz w:val="24"/>
          <w:szCs w:val="24"/>
        </w:rPr>
      </w:pPr>
      <w:r>
        <w:rPr>
          <w:rFonts w:ascii="Garamond" w:eastAsia="Garamond" w:hAnsi="Garamond" w:cs="Garamond"/>
          <w:i/>
          <w:sz w:val="24"/>
          <w:szCs w:val="24"/>
        </w:rPr>
        <w:t>Fuente</w:t>
      </w:r>
      <w:r>
        <w:rPr>
          <w:rFonts w:ascii="Garamond" w:eastAsia="Garamond" w:hAnsi="Garamond" w:cs="Garamond"/>
          <w:sz w:val="24"/>
          <w:szCs w:val="24"/>
        </w:rPr>
        <w:t>: elabora</w:t>
      </w:r>
      <w:r>
        <w:rPr>
          <w:rFonts w:ascii="Garamond" w:eastAsia="Garamond" w:hAnsi="Garamond" w:cs="Garamond"/>
          <w:sz w:val="24"/>
          <w:szCs w:val="24"/>
        </w:rPr>
        <w:t>ción propia a partir de WOS</w:t>
      </w:r>
    </w:p>
    <w:p w14:paraId="7BF84DBC" w14:textId="77777777" w:rsidR="002B1F19" w:rsidRDefault="002B1F19">
      <w:pPr>
        <w:jc w:val="center"/>
        <w:rPr>
          <w:rFonts w:ascii="Garamond" w:eastAsia="Garamond" w:hAnsi="Garamond" w:cs="Garamond"/>
          <w:sz w:val="24"/>
          <w:szCs w:val="24"/>
        </w:rPr>
      </w:pPr>
    </w:p>
    <w:p w14:paraId="7FCB298B" w14:textId="77777777" w:rsidR="002B1F19" w:rsidRDefault="00F80E55">
      <w:pPr>
        <w:jc w:val="center"/>
        <w:rPr>
          <w:rFonts w:ascii="Garamond" w:eastAsia="Garamond" w:hAnsi="Garamond" w:cs="Garamond"/>
          <w:sz w:val="24"/>
          <w:szCs w:val="24"/>
        </w:rPr>
      </w:pPr>
      <w:r>
        <w:rPr>
          <w:rFonts w:ascii="Garamond" w:eastAsia="Garamond" w:hAnsi="Garamond" w:cs="Garamond"/>
          <w:noProof/>
          <w:sz w:val="24"/>
          <w:szCs w:val="24"/>
        </w:rPr>
        <w:drawing>
          <wp:inline distT="114300" distB="114300" distL="114300" distR="114300" wp14:anchorId="1F032042" wp14:editId="55F93A99">
            <wp:extent cx="4434840" cy="2736010"/>
            <wp:effectExtent l="0" t="0" r="0" b="0"/>
            <wp:docPr id="12" name="image7.png" descr="Gráfico"/>
            <wp:cNvGraphicFramePr/>
            <a:graphic xmlns:a="http://schemas.openxmlformats.org/drawingml/2006/main">
              <a:graphicData uri="http://schemas.openxmlformats.org/drawingml/2006/picture">
                <pic:pic xmlns:pic="http://schemas.openxmlformats.org/drawingml/2006/picture">
                  <pic:nvPicPr>
                    <pic:cNvPr id="0" name="image7.png" descr="Gráfico"/>
                    <pic:cNvPicPr preferRelativeResize="0"/>
                  </pic:nvPicPr>
                  <pic:blipFill>
                    <a:blip r:embed="rId32"/>
                    <a:srcRect/>
                    <a:stretch>
                      <a:fillRect/>
                    </a:stretch>
                  </pic:blipFill>
                  <pic:spPr>
                    <a:xfrm>
                      <a:off x="0" y="0"/>
                      <a:ext cx="4434840" cy="2736010"/>
                    </a:xfrm>
                    <a:prstGeom prst="rect">
                      <a:avLst/>
                    </a:prstGeom>
                    <a:ln/>
                  </pic:spPr>
                </pic:pic>
              </a:graphicData>
            </a:graphic>
          </wp:inline>
        </w:drawing>
      </w:r>
    </w:p>
    <w:p w14:paraId="3005AA44" w14:textId="77777777" w:rsidR="002B1F19" w:rsidRDefault="00F80E55">
      <w:pPr>
        <w:jc w:val="center"/>
        <w:rPr>
          <w:rFonts w:ascii="Garamond" w:eastAsia="Garamond" w:hAnsi="Garamond" w:cs="Garamond"/>
          <w:sz w:val="24"/>
          <w:szCs w:val="24"/>
        </w:rPr>
      </w:pPr>
      <w:r>
        <w:rPr>
          <w:rFonts w:ascii="Garamond" w:eastAsia="Garamond" w:hAnsi="Garamond" w:cs="Garamond"/>
          <w:i/>
          <w:sz w:val="24"/>
          <w:szCs w:val="24"/>
        </w:rPr>
        <w:t>Fuente</w:t>
      </w:r>
      <w:r>
        <w:rPr>
          <w:rFonts w:ascii="Garamond" w:eastAsia="Garamond" w:hAnsi="Garamond" w:cs="Garamond"/>
          <w:sz w:val="24"/>
          <w:szCs w:val="24"/>
        </w:rPr>
        <w:t>: elaboración propia a partir de Scopus</w:t>
      </w:r>
    </w:p>
    <w:p w14:paraId="6461B46A" w14:textId="77777777" w:rsidR="002B1F19" w:rsidRDefault="002B1F19">
      <w:pPr>
        <w:jc w:val="both"/>
        <w:rPr>
          <w:rFonts w:ascii="Garamond" w:eastAsia="Garamond" w:hAnsi="Garamond" w:cs="Garamond"/>
          <w:sz w:val="24"/>
          <w:szCs w:val="24"/>
        </w:rPr>
      </w:pPr>
    </w:p>
    <w:p w14:paraId="13532BD0"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 xml:space="preserve">Si se toma como referencia el </w:t>
      </w:r>
      <w:r>
        <w:rPr>
          <w:rFonts w:ascii="Garamond" w:eastAsia="Garamond" w:hAnsi="Garamond" w:cs="Garamond"/>
          <w:i/>
          <w:sz w:val="24"/>
          <w:szCs w:val="24"/>
        </w:rPr>
        <w:t xml:space="preserve">Scielo Citation Index, </w:t>
      </w:r>
      <w:r>
        <w:rPr>
          <w:rFonts w:ascii="Garamond" w:eastAsia="Garamond" w:hAnsi="Garamond" w:cs="Garamond"/>
          <w:sz w:val="24"/>
          <w:szCs w:val="24"/>
        </w:rPr>
        <w:t>se observa que no existen variaciones importantes en el número de publicaciones entre el 2009 y el 2018. Entre el año 2010 y el 2011 se registró un incremento del 27,8%, mientras que entre el año 2016 y 2017 se observa un decrecimiento en igual porcentaje.</w:t>
      </w:r>
      <w:r>
        <w:rPr>
          <w:rFonts w:ascii="Garamond" w:eastAsia="Garamond" w:hAnsi="Garamond" w:cs="Garamond"/>
          <w:sz w:val="24"/>
          <w:szCs w:val="24"/>
        </w:rPr>
        <w:t xml:space="preserve"> </w:t>
      </w:r>
    </w:p>
    <w:p w14:paraId="78C49437" w14:textId="77777777" w:rsidR="002B1F19" w:rsidRDefault="00F80E55">
      <w:pPr>
        <w:jc w:val="center"/>
        <w:rPr>
          <w:rFonts w:ascii="Garamond" w:eastAsia="Garamond" w:hAnsi="Garamond" w:cs="Garamond"/>
          <w:sz w:val="24"/>
          <w:szCs w:val="24"/>
        </w:rPr>
      </w:pPr>
      <w:r>
        <w:rPr>
          <w:rFonts w:ascii="Garamond" w:eastAsia="Garamond" w:hAnsi="Garamond" w:cs="Garamond"/>
          <w:noProof/>
          <w:sz w:val="24"/>
          <w:szCs w:val="24"/>
        </w:rPr>
        <w:lastRenderedPageBreak/>
        <w:drawing>
          <wp:inline distT="114300" distB="114300" distL="114300" distR="114300" wp14:anchorId="5549E961" wp14:editId="0F8B1A5D">
            <wp:extent cx="4078605" cy="2527300"/>
            <wp:effectExtent l="0" t="0" r="0" b="0"/>
            <wp:docPr id="24" name="image14.png" descr="Gráfico"/>
            <wp:cNvGraphicFramePr/>
            <a:graphic xmlns:a="http://schemas.openxmlformats.org/drawingml/2006/main">
              <a:graphicData uri="http://schemas.openxmlformats.org/drawingml/2006/picture">
                <pic:pic xmlns:pic="http://schemas.openxmlformats.org/drawingml/2006/picture">
                  <pic:nvPicPr>
                    <pic:cNvPr id="0" name="image14.png" descr="Gráfico"/>
                    <pic:cNvPicPr preferRelativeResize="0"/>
                  </pic:nvPicPr>
                  <pic:blipFill>
                    <a:blip r:embed="rId33"/>
                    <a:srcRect/>
                    <a:stretch>
                      <a:fillRect/>
                    </a:stretch>
                  </pic:blipFill>
                  <pic:spPr>
                    <a:xfrm>
                      <a:off x="0" y="0"/>
                      <a:ext cx="4078605" cy="2527300"/>
                    </a:xfrm>
                    <a:prstGeom prst="rect">
                      <a:avLst/>
                    </a:prstGeom>
                    <a:ln/>
                  </pic:spPr>
                </pic:pic>
              </a:graphicData>
            </a:graphic>
          </wp:inline>
        </w:drawing>
      </w:r>
    </w:p>
    <w:p w14:paraId="2876F107"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La siguiente gráfica muestra los idiomas de publicación de los artículos registrados en el índice mencionado anteriormente</w:t>
      </w:r>
      <w:r>
        <w:rPr>
          <w:rFonts w:ascii="Garamond" w:eastAsia="Garamond" w:hAnsi="Garamond" w:cs="Garamond"/>
          <w:i/>
          <w:sz w:val="24"/>
          <w:szCs w:val="24"/>
        </w:rPr>
        <w:t xml:space="preserve">. </w:t>
      </w:r>
      <w:r>
        <w:rPr>
          <w:rFonts w:ascii="Garamond" w:eastAsia="Garamond" w:hAnsi="Garamond" w:cs="Garamond"/>
          <w:sz w:val="24"/>
          <w:szCs w:val="24"/>
        </w:rPr>
        <w:t>El 87% de los artículos fueron publicados en español, el 12,3% en inglés y 0,7% en portugués. La preponderancia del español se e</w:t>
      </w:r>
      <w:r>
        <w:rPr>
          <w:rFonts w:ascii="Garamond" w:eastAsia="Garamond" w:hAnsi="Garamond" w:cs="Garamond"/>
          <w:sz w:val="24"/>
          <w:szCs w:val="24"/>
        </w:rPr>
        <w:t xml:space="preserve">xplica porque </w:t>
      </w:r>
      <w:r>
        <w:rPr>
          <w:rFonts w:ascii="Garamond" w:eastAsia="Garamond" w:hAnsi="Garamond" w:cs="Garamond"/>
          <w:i/>
          <w:sz w:val="24"/>
          <w:szCs w:val="24"/>
        </w:rPr>
        <w:t>Scielo</w:t>
      </w:r>
      <w:r>
        <w:rPr>
          <w:rFonts w:ascii="Garamond" w:eastAsia="Garamond" w:hAnsi="Garamond" w:cs="Garamond"/>
          <w:sz w:val="24"/>
          <w:szCs w:val="24"/>
        </w:rPr>
        <w:t xml:space="preserve"> es una iniciativa de indexación que se orienta a la comunidad científica latinoamericana. </w:t>
      </w:r>
    </w:p>
    <w:p w14:paraId="76095482" w14:textId="77777777" w:rsidR="002B1F19" w:rsidRDefault="002B1F19">
      <w:pPr>
        <w:jc w:val="both"/>
        <w:rPr>
          <w:rFonts w:ascii="Garamond" w:eastAsia="Garamond" w:hAnsi="Garamond" w:cs="Garamond"/>
          <w:i/>
          <w:sz w:val="24"/>
          <w:szCs w:val="24"/>
        </w:rPr>
      </w:pPr>
    </w:p>
    <w:p w14:paraId="5EFBFD8E" w14:textId="77777777" w:rsidR="002B1F19" w:rsidRDefault="00F80E55">
      <w:pPr>
        <w:jc w:val="center"/>
        <w:rPr>
          <w:rFonts w:ascii="Garamond" w:eastAsia="Garamond" w:hAnsi="Garamond" w:cs="Garamond"/>
          <w:i/>
          <w:sz w:val="24"/>
          <w:szCs w:val="24"/>
        </w:rPr>
      </w:pPr>
      <w:r>
        <w:rPr>
          <w:rFonts w:ascii="Garamond" w:eastAsia="Garamond" w:hAnsi="Garamond" w:cs="Garamond"/>
          <w:i/>
          <w:noProof/>
          <w:sz w:val="24"/>
          <w:szCs w:val="24"/>
        </w:rPr>
        <w:drawing>
          <wp:inline distT="114300" distB="114300" distL="114300" distR="114300" wp14:anchorId="667F1961" wp14:editId="34FD95E6">
            <wp:extent cx="3887153" cy="2407790"/>
            <wp:effectExtent l="0" t="0" r="0" b="0"/>
            <wp:docPr id="15" name="image3.png" descr="Gráfico"/>
            <wp:cNvGraphicFramePr/>
            <a:graphic xmlns:a="http://schemas.openxmlformats.org/drawingml/2006/main">
              <a:graphicData uri="http://schemas.openxmlformats.org/drawingml/2006/picture">
                <pic:pic xmlns:pic="http://schemas.openxmlformats.org/drawingml/2006/picture">
                  <pic:nvPicPr>
                    <pic:cNvPr id="0" name="image3.png" descr="Gráfico"/>
                    <pic:cNvPicPr preferRelativeResize="0"/>
                  </pic:nvPicPr>
                  <pic:blipFill>
                    <a:blip r:embed="rId34"/>
                    <a:srcRect/>
                    <a:stretch>
                      <a:fillRect/>
                    </a:stretch>
                  </pic:blipFill>
                  <pic:spPr>
                    <a:xfrm>
                      <a:off x="0" y="0"/>
                      <a:ext cx="3887153" cy="2407790"/>
                    </a:xfrm>
                    <a:prstGeom prst="rect">
                      <a:avLst/>
                    </a:prstGeom>
                    <a:ln/>
                  </pic:spPr>
                </pic:pic>
              </a:graphicData>
            </a:graphic>
          </wp:inline>
        </w:drawing>
      </w:r>
    </w:p>
    <w:p w14:paraId="043B1405" w14:textId="77777777" w:rsidR="002B1F19" w:rsidRDefault="002B1F19">
      <w:pPr>
        <w:jc w:val="both"/>
        <w:rPr>
          <w:rFonts w:ascii="Garamond" w:eastAsia="Garamond" w:hAnsi="Garamond" w:cs="Garamond"/>
          <w:sz w:val="24"/>
          <w:szCs w:val="24"/>
        </w:rPr>
      </w:pPr>
    </w:p>
    <w:p w14:paraId="697BB8B7"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 xml:space="preserve">Por otro lado, la colección principal de </w:t>
      </w:r>
      <w:r>
        <w:rPr>
          <w:rFonts w:ascii="Garamond" w:eastAsia="Garamond" w:hAnsi="Garamond" w:cs="Garamond"/>
          <w:i/>
          <w:sz w:val="24"/>
          <w:szCs w:val="24"/>
        </w:rPr>
        <w:t xml:space="preserve">Web of science, </w:t>
      </w:r>
      <w:r>
        <w:rPr>
          <w:rFonts w:ascii="Garamond" w:eastAsia="Garamond" w:hAnsi="Garamond" w:cs="Garamond"/>
          <w:sz w:val="24"/>
          <w:szCs w:val="24"/>
        </w:rPr>
        <w:t>muestra que los investigadores de la institución han incrementado el número de publ</w:t>
      </w:r>
      <w:r>
        <w:rPr>
          <w:rFonts w:ascii="Garamond" w:eastAsia="Garamond" w:hAnsi="Garamond" w:cs="Garamond"/>
          <w:sz w:val="24"/>
          <w:szCs w:val="24"/>
        </w:rPr>
        <w:t>icaciones en inglés en el período 2009-2018 como se evidencia en la colección principal de WOS que registra un 54,9% de publicaciones en inglés, seguidas de un 43,7% en español.</w:t>
      </w:r>
    </w:p>
    <w:p w14:paraId="4A6A2776" w14:textId="77777777" w:rsidR="002B1F19" w:rsidRDefault="002B1F19">
      <w:pPr>
        <w:jc w:val="both"/>
        <w:rPr>
          <w:rFonts w:ascii="Garamond" w:eastAsia="Garamond" w:hAnsi="Garamond" w:cs="Garamond"/>
          <w:sz w:val="24"/>
          <w:szCs w:val="24"/>
        </w:rPr>
      </w:pPr>
    </w:p>
    <w:p w14:paraId="6578B1AE" w14:textId="77777777" w:rsidR="002B1F19" w:rsidRDefault="002B1F19">
      <w:pPr>
        <w:jc w:val="both"/>
        <w:rPr>
          <w:rFonts w:ascii="Garamond" w:eastAsia="Garamond" w:hAnsi="Garamond" w:cs="Garamond"/>
          <w:sz w:val="24"/>
          <w:szCs w:val="24"/>
        </w:rPr>
      </w:pPr>
    </w:p>
    <w:p w14:paraId="62455BEA" w14:textId="77777777" w:rsidR="002B1F19" w:rsidRDefault="00F80E55">
      <w:pPr>
        <w:jc w:val="center"/>
        <w:rPr>
          <w:rFonts w:ascii="Garamond" w:eastAsia="Garamond" w:hAnsi="Garamond" w:cs="Garamond"/>
          <w:sz w:val="24"/>
          <w:szCs w:val="24"/>
        </w:rPr>
      </w:pPr>
      <w:r>
        <w:rPr>
          <w:rFonts w:ascii="Garamond" w:eastAsia="Garamond" w:hAnsi="Garamond" w:cs="Garamond"/>
          <w:noProof/>
          <w:sz w:val="24"/>
          <w:szCs w:val="24"/>
        </w:rPr>
        <w:lastRenderedPageBreak/>
        <w:drawing>
          <wp:inline distT="114300" distB="114300" distL="114300" distR="114300" wp14:anchorId="7F6C7576" wp14:editId="7EE3390F">
            <wp:extent cx="4210578" cy="2598420"/>
            <wp:effectExtent l="0" t="0" r="0" b="0"/>
            <wp:docPr id="31" name="image24.png" descr="Gráfico"/>
            <wp:cNvGraphicFramePr/>
            <a:graphic xmlns:a="http://schemas.openxmlformats.org/drawingml/2006/main">
              <a:graphicData uri="http://schemas.openxmlformats.org/drawingml/2006/picture">
                <pic:pic xmlns:pic="http://schemas.openxmlformats.org/drawingml/2006/picture">
                  <pic:nvPicPr>
                    <pic:cNvPr id="0" name="image24.png" descr="Gráfico"/>
                    <pic:cNvPicPr preferRelativeResize="0"/>
                  </pic:nvPicPr>
                  <pic:blipFill>
                    <a:blip r:embed="rId35"/>
                    <a:srcRect/>
                    <a:stretch>
                      <a:fillRect/>
                    </a:stretch>
                  </pic:blipFill>
                  <pic:spPr>
                    <a:xfrm>
                      <a:off x="0" y="0"/>
                      <a:ext cx="4210578" cy="2598420"/>
                    </a:xfrm>
                    <a:prstGeom prst="rect">
                      <a:avLst/>
                    </a:prstGeom>
                    <a:ln/>
                  </pic:spPr>
                </pic:pic>
              </a:graphicData>
            </a:graphic>
          </wp:inline>
        </w:drawing>
      </w:r>
    </w:p>
    <w:p w14:paraId="19E41BF1" w14:textId="77777777" w:rsidR="002B1F19" w:rsidRDefault="002B1F19">
      <w:pPr>
        <w:jc w:val="both"/>
        <w:rPr>
          <w:rFonts w:ascii="Garamond" w:eastAsia="Garamond" w:hAnsi="Garamond" w:cs="Garamond"/>
          <w:sz w:val="24"/>
          <w:szCs w:val="24"/>
        </w:rPr>
      </w:pPr>
    </w:p>
    <w:p w14:paraId="5F10B0A9"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En suma, las publicaciones en modalidad de acceso abierto y predominantem</w:t>
      </w:r>
      <w:r>
        <w:rPr>
          <w:rFonts w:ascii="Garamond" w:eastAsia="Garamond" w:hAnsi="Garamond" w:cs="Garamond"/>
          <w:sz w:val="24"/>
          <w:szCs w:val="24"/>
        </w:rPr>
        <w:t>ente en español han tenido un comportamiento constante, mientras que la participación en revistas de fuera de Latinoamérica y en idiomas distintos al español, se ha venido incrementando en el período de referencia.</w:t>
      </w:r>
    </w:p>
    <w:p w14:paraId="1E562182" w14:textId="77777777" w:rsidR="002B1F19" w:rsidRDefault="002B1F19">
      <w:pPr>
        <w:rPr>
          <w:rFonts w:ascii="Garamond" w:eastAsia="Garamond" w:hAnsi="Garamond" w:cs="Garamond"/>
          <w:sz w:val="24"/>
          <w:szCs w:val="24"/>
        </w:rPr>
      </w:pPr>
    </w:p>
    <w:p w14:paraId="69503118" w14:textId="77777777" w:rsidR="002B1F19" w:rsidRDefault="00F80E55">
      <w:pPr>
        <w:jc w:val="center"/>
        <w:rPr>
          <w:rFonts w:ascii="Garamond" w:eastAsia="Garamond" w:hAnsi="Garamond" w:cs="Garamond"/>
          <w:sz w:val="24"/>
          <w:szCs w:val="24"/>
        </w:rPr>
      </w:pPr>
      <w:r>
        <w:rPr>
          <w:rFonts w:ascii="Garamond" w:eastAsia="Garamond" w:hAnsi="Garamond" w:cs="Garamond"/>
          <w:noProof/>
          <w:sz w:val="24"/>
          <w:szCs w:val="24"/>
        </w:rPr>
        <w:drawing>
          <wp:inline distT="114300" distB="114300" distL="114300" distR="114300" wp14:anchorId="6E10E4C4" wp14:editId="192517D6">
            <wp:extent cx="4689399" cy="2895600"/>
            <wp:effectExtent l="0" t="0" r="0" b="0"/>
            <wp:docPr id="35" name="image33.png" descr="Gráfico"/>
            <wp:cNvGraphicFramePr/>
            <a:graphic xmlns:a="http://schemas.openxmlformats.org/drawingml/2006/main">
              <a:graphicData uri="http://schemas.openxmlformats.org/drawingml/2006/picture">
                <pic:pic xmlns:pic="http://schemas.openxmlformats.org/drawingml/2006/picture">
                  <pic:nvPicPr>
                    <pic:cNvPr id="0" name="image33.png" descr="Gráfico"/>
                    <pic:cNvPicPr preferRelativeResize="0"/>
                  </pic:nvPicPr>
                  <pic:blipFill>
                    <a:blip r:embed="rId36"/>
                    <a:srcRect/>
                    <a:stretch>
                      <a:fillRect/>
                    </a:stretch>
                  </pic:blipFill>
                  <pic:spPr>
                    <a:xfrm>
                      <a:off x="0" y="0"/>
                      <a:ext cx="4689399" cy="2895600"/>
                    </a:xfrm>
                    <a:prstGeom prst="rect">
                      <a:avLst/>
                    </a:prstGeom>
                    <a:ln/>
                  </pic:spPr>
                </pic:pic>
              </a:graphicData>
            </a:graphic>
          </wp:inline>
        </w:drawing>
      </w:r>
    </w:p>
    <w:p w14:paraId="447860C0" w14:textId="77777777" w:rsidR="002B1F19" w:rsidRDefault="002B1F19">
      <w:pPr>
        <w:jc w:val="center"/>
        <w:rPr>
          <w:rFonts w:ascii="Garamond" w:eastAsia="Garamond" w:hAnsi="Garamond" w:cs="Garamond"/>
          <w:sz w:val="24"/>
          <w:szCs w:val="24"/>
        </w:rPr>
      </w:pPr>
    </w:p>
    <w:p w14:paraId="59248954"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Se destaca que el período comprendido</w:t>
      </w:r>
      <w:r>
        <w:rPr>
          <w:rFonts w:ascii="Garamond" w:eastAsia="Garamond" w:hAnsi="Garamond" w:cs="Garamond"/>
          <w:sz w:val="24"/>
          <w:szCs w:val="24"/>
        </w:rPr>
        <w:t xml:space="preserve"> entre 2009 y 2012 se publicaron en promedio 75.75 artículos por año, mientras que entre el 2013 y el 2018 se publicaron 155.66 artículos promedio por año, lo que arroja un incremento del</w:t>
      </w:r>
      <w:r>
        <w:rPr>
          <w:rFonts w:ascii="Garamond" w:eastAsia="Garamond" w:hAnsi="Garamond" w:cs="Garamond"/>
          <w:sz w:val="24"/>
          <w:szCs w:val="24"/>
          <w:highlight w:val="red"/>
        </w:rPr>
        <w:t xml:space="preserve"> (200%) respecto al período anterior.</w:t>
      </w:r>
      <w:r>
        <w:rPr>
          <w:rFonts w:ascii="Garamond" w:eastAsia="Garamond" w:hAnsi="Garamond" w:cs="Garamond"/>
          <w:sz w:val="24"/>
          <w:szCs w:val="24"/>
        </w:rPr>
        <w:t xml:space="preserve"> Esta transformación muestra que</w:t>
      </w:r>
      <w:r>
        <w:rPr>
          <w:rFonts w:ascii="Garamond" w:eastAsia="Garamond" w:hAnsi="Garamond" w:cs="Garamond"/>
          <w:sz w:val="24"/>
          <w:szCs w:val="24"/>
        </w:rPr>
        <w:t xml:space="preserve"> la investigación en la Universidad es creciente y ha tomado un lugar destacado en la institución lo que ha permitido ir consolidando una práctica en torno a la generación de nuevo conocimiento.</w:t>
      </w:r>
    </w:p>
    <w:p w14:paraId="69B544B6" w14:textId="77777777" w:rsidR="002B1F19" w:rsidRDefault="002B1F19">
      <w:pPr>
        <w:jc w:val="both"/>
        <w:rPr>
          <w:rFonts w:ascii="Garamond" w:eastAsia="Garamond" w:hAnsi="Garamond" w:cs="Garamond"/>
          <w:sz w:val="24"/>
          <w:szCs w:val="24"/>
        </w:rPr>
      </w:pPr>
    </w:p>
    <w:p w14:paraId="6A19FB37" w14:textId="77777777" w:rsidR="002B1F19" w:rsidRDefault="002B1F19">
      <w:pPr>
        <w:jc w:val="both"/>
        <w:rPr>
          <w:rFonts w:ascii="Garamond" w:eastAsia="Garamond" w:hAnsi="Garamond" w:cs="Garamond"/>
          <w:sz w:val="24"/>
          <w:szCs w:val="24"/>
        </w:rPr>
      </w:pPr>
    </w:p>
    <w:p w14:paraId="01C76BEA" w14:textId="77777777" w:rsidR="002B1F19" w:rsidRDefault="002B1F19">
      <w:pPr>
        <w:jc w:val="both"/>
        <w:rPr>
          <w:rFonts w:ascii="Garamond" w:eastAsia="Garamond" w:hAnsi="Garamond" w:cs="Garamond"/>
          <w:sz w:val="24"/>
          <w:szCs w:val="24"/>
        </w:rPr>
      </w:pPr>
    </w:p>
    <w:p w14:paraId="5A8397F1" w14:textId="77777777" w:rsidR="002B1F19" w:rsidRDefault="002B1F19">
      <w:pPr>
        <w:jc w:val="both"/>
        <w:rPr>
          <w:rFonts w:ascii="Garamond" w:eastAsia="Garamond" w:hAnsi="Garamond" w:cs="Garamond"/>
          <w:sz w:val="24"/>
          <w:szCs w:val="24"/>
        </w:rPr>
      </w:pPr>
    </w:p>
    <w:p w14:paraId="0568F1A4" w14:textId="77777777" w:rsidR="002B1F19" w:rsidRDefault="002B1F19">
      <w:pPr>
        <w:jc w:val="both"/>
        <w:rPr>
          <w:rFonts w:ascii="Garamond" w:eastAsia="Garamond" w:hAnsi="Garamond" w:cs="Garamond"/>
          <w:sz w:val="24"/>
          <w:szCs w:val="24"/>
        </w:rPr>
      </w:pPr>
    </w:p>
    <w:p w14:paraId="260AD913"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Con el propósito de establecer una relación entre invest</w:t>
      </w:r>
      <w:r>
        <w:rPr>
          <w:rFonts w:ascii="Garamond" w:eastAsia="Garamond" w:hAnsi="Garamond" w:cs="Garamond"/>
          <w:sz w:val="24"/>
          <w:szCs w:val="24"/>
        </w:rPr>
        <w:t xml:space="preserve">igación y comunicación científica es pertinente analizar cuáles son las editoriales nacionales e internacionales en las que publican los investigadores de la Universidad de Caldas. En el lapso comprendido entre 2010 y 2019 el 25,2% fue publicado con </w:t>
      </w:r>
      <w:r>
        <w:rPr>
          <w:rFonts w:ascii="Garamond" w:eastAsia="Garamond" w:hAnsi="Garamond" w:cs="Garamond"/>
          <w:i/>
          <w:sz w:val="24"/>
          <w:szCs w:val="24"/>
        </w:rPr>
        <w:t>Elsevi</w:t>
      </w:r>
      <w:r>
        <w:rPr>
          <w:rFonts w:ascii="Garamond" w:eastAsia="Garamond" w:hAnsi="Garamond" w:cs="Garamond"/>
          <w:i/>
          <w:sz w:val="24"/>
          <w:szCs w:val="24"/>
        </w:rPr>
        <w:t xml:space="preserve">er, </w:t>
      </w:r>
      <w:r>
        <w:rPr>
          <w:rFonts w:ascii="Garamond" w:eastAsia="Garamond" w:hAnsi="Garamond" w:cs="Garamond"/>
          <w:sz w:val="24"/>
          <w:szCs w:val="24"/>
        </w:rPr>
        <w:t xml:space="preserve">seguido de </w:t>
      </w:r>
      <w:r>
        <w:rPr>
          <w:rFonts w:ascii="Garamond" w:eastAsia="Garamond" w:hAnsi="Garamond" w:cs="Garamond"/>
          <w:i/>
          <w:sz w:val="24"/>
          <w:szCs w:val="24"/>
        </w:rPr>
        <w:t xml:space="preserve">Scielo </w:t>
      </w:r>
      <w:r>
        <w:rPr>
          <w:rFonts w:ascii="Garamond" w:eastAsia="Garamond" w:hAnsi="Garamond" w:cs="Garamond"/>
          <w:sz w:val="24"/>
          <w:szCs w:val="24"/>
        </w:rPr>
        <w:t>con cerca del 13,2%</w:t>
      </w:r>
      <w:r>
        <w:rPr>
          <w:rFonts w:ascii="Garamond" w:eastAsia="Garamond" w:hAnsi="Garamond" w:cs="Garamond"/>
          <w:i/>
          <w:sz w:val="24"/>
          <w:szCs w:val="24"/>
        </w:rPr>
        <w:t xml:space="preserve">, Springer Nature </w:t>
      </w:r>
      <w:r>
        <w:rPr>
          <w:rFonts w:ascii="Garamond" w:eastAsia="Garamond" w:hAnsi="Garamond" w:cs="Garamond"/>
          <w:sz w:val="24"/>
          <w:szCs w:val="24"/>
        </w:rPr>
        <w:t>con el 10,7%</w:t>
      </w:r>
      <w:r>
        <w:rPr>
          <w:rFonts w:ascii="Garamond" w:eastAsia="Garamond" w:hAnsi="Garamond" w:cs="Garamond"/>
          <w:i/>
          <w:sz w:val="24"/>
          <w:szCs w:val="24"/>
        </w:rPr>
        <w:t xml:space="preserve"> </w:t>
      </w:r>
      <w:r>
        <w:rPr>
          <w:rFonts w:ascii="Garamond" w:eastAsia="Garamond" w:hAnsi="Garamond" w:cs="Garamond"/>
          <w:sz w:val="24"/>
          <w:szCs w:val="24"/>
        </w:rPr>
        <w:t xml:space="preserve">y </w:t>
      </w:r>
      <w:r>
        <w:rPr>
          <w:rFonts w:ascii="Garamond" w:eastAsia="Garamond" w:hAnsi="Garamond" w:cs="Garamond"/>
          <w:i/>
          <w:sz w:val="24"/>
          <w:szCs w:val="24"/>
        </w:rPr>
        <w:t xml:space="preserve">Wiley </w:t>
      </w:r>
      <w:r>
        <w:rPr>
          <w:rFonts w:ascii="Garamond" w:eastAsia="Garamond" w:hAnsi="Garamond" w:cs="Garamond"/>
          <w:sz w:val="24"/>
          <w:szCs w:val="24"/>
        </w:rPr>
        <w:t>con el 6,8%. Cabe destacar que estas editoriales, de reconocido prestigio internacional, ocupan un lugar sobresaliente en la publicación de resultados de investigación en el ám</w:t>
      </w:r>
      <w:r>
        <w:rPr>
          <w:rFonts w:ascii="Garamond" w:eastAsia="Garamond" w:hAnsi="Garamond" w:cs="Garamond"/>
          <w:sz w:val="24"/>
          <w:szCs w:val="24"/>
        </w:rPr>
        <w:t xml:space="preserve">bito mundial. Por su parte, </w:t>
      </w:r>
      <w:r>
        <w:rPr>
          <w:rFonts w:ascii="Garamond" w:eastAsia="Garamond" w:hAnsi="Garamond" w:cs="Garamond"/>
          <w:i/>
          <w:sz w:val="24"/>
          <w:szCs w:val="24"/>
        </w:rPr>
        <w:t xml:space="preserve">Scielo </w:t>
      </w:r>
      <w:r>
        <w:rPr>
          <w:rFonts w:ascii="Garamond" w:eastAsia="Garamond" w:hAnsi="Garamond" w:cs="Garamond"/>
          <w:sz w:val="24"/>
          <w:szCs w:val="24"/>
        </w:rPr>
        <w:t xml:space="preserve">es líder latinoamericano en publicaciones de acceso abierto lo que garantiza una circulación más amplia y equitativa de los resultados de la investigación científica. </w:t>
      </w:r>
      <w:r>
        <w:rPr>
          <w:rFonts w:ascii="Garamond" w:eastAsia="Garamond" w:hAnsi="Garamond" w:cs="Garamond"/>
          <w:i/>
          <w:sz w:val="24"/>
          <w:szCs w:val="24"/>
        </w:rPr>
        <w:t xml:space="preserve"> </w:t>
      </w:r>
      <w:r>
        <w:rPr>
          <w:rFonts w:ascii="Garamond" w:eastAsia="Garamond" w:hAnsi="Garamond" w:cs="Garamond"/>
          <w:sz w:val="24"/>
          <w:szCs w:val="24"/>
        </w:rPr>
        <w:t xml:space="preserve"> </w:t>
      </w:r>
    </w:p>
    <w:p w14:paraId="09368619" w14:textId="77777777" w:rsidR="002B1F19" w:rsidRDefault="002B1F19">
      <w:pPr>
        <w:jc w:val="both"/>
        <w:rPr>
          <w:rFonts w:ascii="Garamond" w:eastAsia="Garamond" w:hAnsi="Garamond" w:cs="Garamond"/>
          <w:sz w:val="24"/>
          <w:szCs w:val="24"/>
        </w:rPr>
      </w:pPr>
    </w:p>
    <w:p w14:paraId="0BC3188B" w14:textId="77777777" w:rsidR="002B1F19" w:rsidRDefault="00F80E55">
      <w:pPr>
        <w:jc w:val="center"/>
        <w:rPr>
          <w:rFonts w:ascii="Garamond" w:eastAsia="Garamond" w:hAnsi="Garamond" w:cs="Garamond"/>
          <w:sz w:val="24"/>
          <w:szCs w:val="24"/>
        </w:rPr>
      </w:pPr>
      <w:r>
        <w:rPr>
          <w:rFonts w:ascii="Garamond" w:eastAsia="Garamond" w:hAnsi="Garamond" w:cs="Garamond"/>
          <w:noProof/>
          <w:sz w:val="24"/>
          <w:szCs w:val="24"/>
        </w:rPr>
        <w:drawing>
          <wp:inline distT="114300" distB="114300" distL="114300" distR="114300" wp14:anchorId="3F101E1F" wp14:editId="686059A2">
            <wp:extent cx="5541169" cy="3424111"/>
            <wp:effectExtent l="0" t="0" r="0" b="0"/>
            <wp:docPr id="4" name="image20.png" descr="Gráfico"/>
            <wp:cNvGraphicFramePr/>
            <a:graphic xmlns:a="http://schemas.openxmlformats.org/drawingml/2006/main">
              <a:graphicData uri="http://schemas.openxmlformats.org/drawingml/2006/picture">
                <pic:pic xmlns:pic="http://schemas.openxmlformats.org/drawingml/2006/picture">
                  <pic:nvPicPr>
                    <pic:cNvPr id="0" name="image20.png" descr="Gráfico"/>
                    <pic:cNvPicPr preferRelativeResize="0"/>
                  </pic:nvPicPr>
                  <pic:blipFill>
                    <a:blip r:embed="rId37"/>
                    <a:srcRect/>
                    <a:stretch>
                      <a:fillRect/>
                    </a:stretch>
                  </pic:blipFill>
                  <pic:spPr>
                    <a:xfrm>
                      <a:off x="0" y="0"/>
                      <a:ext cx="5541169" cy="3424111"/>
                    </a:xfrm>
                    <a:prstGeom prst="rect">
                      <a:avLst/>
                    </a:prstGeom>
                    <a:ln/>
                  </pic:spPr>
                </pic:pic>
              </a:graphicData>
            </a:graphic>
          </wp:inline>
        </w:drawing>
      </w:r>
    </w:p>
    <w:p w14:paraId="56914D75" w14:textId="77777777" w:rsidR="002B1F19" w:rsidRDefault="002B1F19">
      <w:pPr>
        <w:jc w:val="both"/>
        <w:rPr>
          <w:rFonts w:ascii="Garamond" w:eastAsia="Garamond" w:hAnsi="Garamond" w:cs="Garamond"/>
          <w:sz w:val="24"/>
          <w:szCs w:val="24"/>
        </w:rPr>
      </w:pPr>
    </w:p>
    <w:p w14:paraId="1F556DDA"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Es preciso agregar que existen otras editoriale</w:t>
      </w:r>
      <w:r>
        <w:rPr>
          <w:rFonts w:ascii="Garamond" w:eastAsia="Garamond" w:hAnsi="Garamond" w:cs="Garamond"/>
          <w:sz w:val="24"/>
          <w:szCs w:val="24"/>
        </w:rPr>
        <w:t xml:space="preserve">s de reconocido impacto internacional como </w:t>
      </w:r>
      <w:r>
        <w:rPr>
          <w:rFonts w:ascii="Garamond" w:eastAsia="Garamond" w:hAnsi="Garamond" w:cs="Garamond"/>
          <w:i/>
          <w:sz w:val="24"/>
          <w:szCs w:val="24"/>
        </w:rPr>
        <w:t xml:space="preserve">Taylor &amp; Francis, Sage </w:t>
      </w:r>
      <w:r>
        <w:rPr>
          <w:rFonts w:ascii="Garamond" w:eastAsia="Garamond" w:hAnsi="Garamond" w:cs="Garamond"/>
          <w:sz w:val="24"/>
          <w:szCs w:val="24"/>
        </w:rPr>
        <w:t xml:space="preserve">y </w:t>
      </w:r>
      <w:r>
        <w:rPr>
          <w:rFonts w:ascii="Garamond" w:eastAsia="Garamond" w:hAnsi="Garamond" w:cs="Garamond"/>
          <w:i/>
          <w:sz w:val="24"/>
          <w:szCs w:val="24"/>
        </w:rPr>
        <w:t xml:space="preserve">Oxford, </w:t>
      </w:r>
      <w:r>
        <w:rPr>
          <w:rFonts w:ascii="Garamond" w:eastAsia="Garamond" w:hAnsi="Garamond" w:cs="Garamond"/>
          <w:sz w:val="24"/>
          <w:szCs w:val="24"/>
        </w:rPr>
        <w:t>en las cuales la participación de los investigadores de la Universidad de Caldas es menor (5,4%, 2,4% y 2,0% respectivamente); situación que se constituye en una oportunidad para diversificar y ampliar las fuentes de difusión de la producción investigativa</w:t>
      </w:r>
      <w:r>
        <w:rPr>
          <w:rFonts w:ascii="Garamond" w:eastAsia="Garamond" w:hAnsi="Garamond" w:cs="Garamond"/>
          <w:sz w:val="24"/>
          <w:szCs w:val="24"/>
        </w:rPr>
        <w:t xml:space="preserve">. De igual manera es pertinente consolidar el </w:t>
      </w:r>
      <w:r>
        <w:rPr>
          <w:rFonts w:ascii="Garamond" w:eastAsia="Garamond" w:hAnsi="Garamond" w:cs="Garamond"/>
          <w:i/>
          <w:sz w:val="24"/>
          <w:szCs w:val="24"/>
        </w:rPr>
        <w:t xml:space="preserve">Repositorio Institucional </w:t>
      </w:r>
      <w:r>
        <w:rPr>
          <w:rFonts w:ascii="Garamond" w:eastAsia="Garamond" w:hAnsi="Garamond" w:cs="Garamond"/>
          <w:sz w:val="24"/>
          <w:szCs w:val="24"/>
        </w:rPr>
        <w:t>definiendo comunidades y colecciones que permitan el acceso abierto a los principales productos de investigación incluidas las tesis de maestría y doctorado.</w:t>
      </w:r>
    </w:p>
    <w:p w14:paraId="2B6410B3" w14:textId="77777777" w:rsidR="002B1F19" w:rsidRDefault="002B1F19">
      <w:pPr>
        <w:jc w:val="both"/>
        <w:rPr>
          <w:rFonts w:ascii="Garamond" w:eastAsia="Garamond" w:hAnsi="Garamond" w:cs="Garamond"/>
          <w:sz w:val="24"/>
          <w:szCs w:val="24"/>
        </w:rPr>
      </w:pPr>
    </w:p>
    <w:p w14:paraId="38E167F6" w14:textId="77777777" w:rsidR="002B1F19" w:rsidRDefault="00F80E55">
      <w:pPr>
        <w:jc w:val="both"/>
        <w:rPr>
          <w:rFonts w:ascii="Garamond" w:eastAsia="Garamond" w:hAnsi="Garamond" w:cs="Garamond"/>
          <w:i/>
          <w:sz w:val="24"/>
          <w:szCs w:val="24"/>
        </w:rPr>
      </w:pPr>
      <w:r>
        <w:rPr>
          <w:rFonts w:ascii="Garamond" w:eastAsia="Garamond" w:hAnsi="Garamond" w:cs="Garamond"/>
          <w:i/>
          <w:sz w:val="24"/>
          <w:szCs w:val="24"/>
        </w:rPr>
        <w:t>Citaciones</w:t>
      </w:r>
    </w:p>
    <w:p w14:paraId="3A5E2667" w14:textId="77777777" w:rsidR="002B1F19" w:rsidRDefault="002B1F19">
      <w:pPr>
        <w:jc w:val="both"/>
        <w:rPr>
          <w:rFonts w:ascii="Garamond" w:eastAsia="Garamond" w:hAnsi="Garamond" w:cs="Garamond"/>
          <w:sz w:val="24"/>
          <w:szCs w:val="24"/>
        </w:rPr>
      </w:pPr>
    </w:p>
    <w:p w14:paraId="48F415AF"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Con relación a la comunidad lectora de los productos resultado de investigación en la institución, es importante plantear la pertinencia del uso de herramientas digitales que permitan el análisis de esta variable con el fin de establecer estrategias orient</w:t>
      </w:r>
      <w:r>
        <w:rPr>
          <w:rFonts w:ascii="Garamond" w:eastAsia="Garamond" w:hAnsi="Garamond" w:cs="Garamond"/>
          <w:sz w:val="24"/>
          <w:szCs w:val="24"/>
        </w:rPr>
        <w:t xml:space="preserve">adas a fortalecer las redes entre investigadores de distintos países con el fin de ampliar la colaboración. </w:t>
      </w:r>
    </w:p>
    <w:p w14:paraId="56F0B35D" w14:textId="77777777" w:rsidR="002B1F19" w:rsidRDefault="002B1F19">
      <w:pPr>
        <w:jc w:val="both"/>
        <w:rPr>
          <w:rFonts w:ascii="Garamond" w:eastAsia="Garamond" w:hAnsi="Garamond" w:cs="Garamond"/>
          <w:sz w:val="24"/>
          <w:szCs w:val="24"/>
        </w:rPr>
      </w:pPr>
    </w:p>
    <w:p w14:paraId="6B1DD9FD"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lastRenderedPageBreak/>
        <w:t xml:space="preserve">Como soporte para el análisis de las citaciones de la institución, se utilizó la información disponible en </w:t>
      </w:r>
      <w:r>
        <w:rPr>
          <w:rFonts w:ascii="Garamond" w:eastAsia="Garamond" w:hAnsi="Garamond" w:cs="Garamond"/>
          <w:i/>
          <w:sz w:val="24"/>
          <w:szCs w:val="24"/>
        </w:rPr>
        <w:t xml:space="preserve">WOS, Wizdom </w:t>
      </w:r>
      <w:r>
        <w:rPr>
          <w:rFonts w:ascii="Garamond" w:eastAsia="Garamond" w:hAnsi="Garamond" w:cs="Garamond"/>
          <w:sz w:val="24"/>
          <w:szCs w:val="24"/>
        </w:rPr>
        <w:t xml:space="preserve">y </w:t>
      </w:r>
      <w:r>
        <w:rPr>
          <w:rFonts w:ascii="Garamond" w:eastAsia="Garamond" w:hAnsi="Garamond" w:cs="Garamond"/>
          <w:i/>
          <w:sz w:val="24"/>
          <w:szCs w:val="24"/>
        </w:rPr>
        <w:t>Biblat</w:t>
      </w:r>
      <w:r>
        <w:rPr>
          <w:rFonts w:ascii="Garamond" w:eastAsia="Garamond" w:hAnsi="Garamond" w:cs="Garamond"/>
          <w:i/>
          <w:sz w:val="24"/>
          <w:szCs w:val="24"/>
          <w:vertAlign w:val="superscript"/>
        </w:rPr>
        <w:footnoteReference w:id="1"/>
      </w:r>
      <w:r>
        <w:rPr>
          <w:rFonts w:ascii="Garamond" w:eastAsia="Garamond" w:hAnsi="Garamond" w:cs="Garamond"/>
          <w:i/>
          <w:sz w:val="24"/>
          <w:szCs w:val="24"/>
        </w:rPr>
        <w:t xml:space="preserve"> </w:t>
      </w:r>
      <w:r>
        <w:rPr>
          <w:rFonts w:ascii="Garamond" w:eastAsia="Garamond" w:hAnsi="Garamond" w:cs="Garamond"/>
          <w:sz w:val="24"/>
          <w:szCs w:val="24"/>
        </w:rPr>
        <w:t>a fin de lograr u</w:t>
      </w:r>
      <w:r>
        <w:rPr>
          <w:rFonts w:ascii="Garamond" w:eastAsia="Garamond" w:hAnsi="Garamond" w:cs="Garamond"/>
          <w:sz w:val="24"/>
          <w:szCs w:val="24"/>
        </w:rPr>
        <w:t>na aproximación de la distribución de las citaciones por paíse</w:t>
      </w:r>
      <w:r>
        <w:rPr>
          <w:rFonts w:ascii="Garamond" w:eastAsia="Garamond" w:hAnsi="Garamond" w:cs="Garamond"/>
          <w:i/>
          <w:sz w:val="24"/>
          <w:szCs w:val="24"/>
        </w:rPr>
        <w:t xml:space="preserve">. </w:t>
      </w:r>
      <w:r>
        <w:rPr>
          <w:rFonts w:ascii="Garamond" w:eastAsia="Garamond" w:hAnsi="Garamond" w:cs="Garamond"/>
          <w:sz w:val="24"/>
          <w:szCs w:val="24"/>
        </w:rPr>
        <w:t>A continuación se muestran los resultados del número de citaciones según fuente resaltándose en una escala cromática los lugares en los que se evidencia una citación mayor. Para realizar un an</w:t>
      </w:r>
      <w:r>
        <w:rPr>
          <w:rFonts w:ascii="Garamond" w:eastAsia="Garamond" w:hAnsi="Garamond" w:cs="Garamond"/>
          <w:sz w:val="24"/>
          <w:szCs w:val="24"/>
        </w:rPr>
        <w:t>álisis más preciso sobre esta información se sugiere remitirse al Anexo # 1.</w:t>
      </w:r>
      <w:r>
        <w:rPr>
          <w:rFonts w:ascii="Garamond" w:eastAsia="Garamond" w:hAnsi="Garamond" w:cs="Garamond"/>
          <w:i/>
          <w:sz w:val="24"/>
          <w:szCs w:val="24"/>
        </w:rPr>
        <w:t xml:space="preserve"> </w:t>
      </w:r>
      <w:r>
        <w:rPr>
          <w:rFonts w:ascii="Garamond" w:eastAsia="Garamond" w:hAnsi="Garamond" w:cs="Garamond"/>
          <w:sz w:val="24"/>
          <w:szCs w:val="24"/>
        </w:rPr>
        <w:t xml:space="preserve"> </w:t>
      </w:r>
    </w:p>
    <w:p w14:paraId="7340ABA1" w14:textId="77777777" w:rsidR="002B1F19" w:rsidRDefault="002B1F19">
      <w:pPr>
        <w:jc w:val="both"/>
        <w:rPr>
          <w:rFonts w:ascii="Garamond" w:eastAsia="Garamond" w:hAnsi="Garamond" w:cs="Garamond"/>
          <w:sz w:val="24"/>
          <w:szCs w:val="24"/>
        </w:rPr>
      </w:pPr>
    </w:p>
    <w:p w14:paraId="13052EE9" w14:textId="77777777" w:rsidR="002B1F19" w:rsidRDefault="00F80E55">
      <w:pPr>
        <w:jc w:val="both"/>
        <w:rPr>
          <w:rFonts w:ascii="Garamond" w:eastAsia="Garamond" w:hAnsi="Garamond" w:cs="Garamond"/>
          <w:sz w:val="24"/>
          <w:szCs w:val="24"/>
        </w:rPr>
      </w:pPr>
      <w:r>
        <w:rPr>
          <w:rFonts w:ascii="Garamond" w:eastAsia="Garamond" w:hAnsi="Garamond" w:cs="Garamond"/>
          <w:noProof/>
          <w:sz w:val="24"/>
          <w:szCs w:val="24"/>
        </w:rPr>
        <w:drawing>
          <wp:inline distT="114300" distB="114300" distL="114300" distR="114300" wp14:anchorId="535B9BE7" wp14:editId="7C78D703">
            <wp:extent cx="5734050" cy="2844800"/>
            <wp:effectExtent l="0" t="0" r="0" b="0"/>
            <wp:docPr id="1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b="11897"/>
                    <a:stretch>
                      <a:fillRect/>
                    </a:stretch>
                  </pic:blipFill>
                  <pic:spPr>
                    <a:xfrm>
                      <a:off x="0" y="0"/>
                      <a:ext cx="5734050" cy="2844800"/>
                    </a:xfrm>
                    <a:prstGeom prst="rect">
                      <a:avLst/>
                    </a:prstGeom>
                    <a:ln/>
                  </pic:spPr>
                </pic:pic>
              </a:graphicData>
            </a:graphic>
          </wp:inline>
        </w:drawing>
      </w:r>
    </w:p>
    <w:p w14:paraId="48E55804" w14:textId="77777777" w:rsidR="002B1F19" w:rsidRDefault="002B1F19">
      <w:pPr>
        <w:jc w:val="both"/>
        <w:rPr>
          <w:rFonts w:ascii="Garamond" w:eastAsia="Garamond" w:hAnsi="Garamond" w:cs="Garamond"/>
          <w:sz w:val="24"/>
          <w:szCs w:val="24"/>
        </w:rPr>
      </w:pPr>
    </w:p>
    <w:p w14:paraId="216E7436" w14:textId="77777777" w:rsidR="002B1F19" w:rsidRDefault="00F80E55">
      <w:pPr>
        <w:jc w:val="both"/>
        <w:rPr>
          <w:rFonts w:ascii="Garamond" w:eastAsia="Garamond" w:hAnsi="Garamond" w:cs="Garamond"/>
          <w:sz w:val="24"/>
          <w:szCs w:val="24"/>
        </w:rPr>
      </w:pPr>
      <w:r>
        <w:rPr>
          <w:rFonts w:ascii="Garamond" w:eastAsia="Garamond" w:hAnsi="Garamond" w:cs="Garamond"/>
          <w:noProof/>
          <w:sz w:val="24"/>
          <w:szCs w:val="24"/>
        </w:rPr>
        <w:drawing>
          <wp:inline distT="114300" distB="114300" distL="114300" distR="114300" wp14:anchorId="42DD9616" wp14:editId="49D3978B">
            <wp:extent cx="5734050" cy="2393950"/>
            <wp:effectExtent l="0" t="0" r="0" b="0"/>
            <wp:docPr id="2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9"/>
                    <a:srcRect t="14355" b="11504"/>
                    <a:stretch>
                      <a:fillRect/>
                    </a:stretch>
                  </pic:blipFill>
                  <pic:spPr>
                    <a:xfrm>
                      <a:off x="0" y="0"/>
                      <a:ext cx="5734050" cy="2393950"/>
                    </a:xfrm>
                    <a:prstGeom prst="rect">
                      <a:avLst/>
                    </a:prstGeom>
                    <a:ln/>
                  </pic:spPr>
                </pic:pic>
              </a:graphicData>
            </a:graphic>
          </wp:inline>
        </w:drawing>
      </w:r>
    </w:p>
    <w:p w14:paraId="256CFE88" w14:textId="77777777" w:rsidR="002B1F19" w:rsidRDefault="002B1F19">
      <w:pPr>
        <w:jc w:val="both"/>
        <w:rPr>
          <w:rFonts w:ascii="Garamond" w:eastAsia="Garamond" w:hAnsi="Garamond" w:cs="Garamond"/>
          <w:sz w:val="24"/>
          <w:szCs w:val="24"/>
        </w:rPr>
      </w:pPr>
    </w:p>
    <w:p w14:paraId="616D62BF" w14:textId="77777777" w:rsidR="002B1F19" w:rsidRDefault="00F80E55">
      <w:pPr>
        <w:jc w:val="both"/>
        <w:rPr>
          <w:rFonts w:ascii="Garamond" w:eastAsia="Garamond" w:hAnsi="Garamond" w:cs="Garamond"/>
          <w:sz w:val="24"/>
          <w:szCs w:val="24"/>
        </w:rPr>
      </w:pPr>
      <w:r>
        <w:rPr>
          <w:rFonts w:ascii="Garamond" w:eastAsia="Garamond" w:hAnsi="Garamond" w:cs="Garamond"/>
          <w:noProof/>
          <w:sz w:val="24"/>
          <w:szCs w:val="24"/>
        </w:rPr>
        <w:lastRenderedPageBreak/>
        <w:drawing>
          <wp:inline distT="114300" distB="114300" distL="114300" distR="114300" wp14:anchorId="55698942" wp14:editId="4CC39A0B">
            <wp:extent cx="5734050" cy="2393950"/>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0"/>
                    <a:srcRect t="13750" b="12192"/>
                    <a:stretch>
                      <a:fillRect/>
                    </a:stretch>
                  </pic:blipFill>
                  <pic:spPr>
                    <a:xfrm>
                      <a:off x="0" y="0"/>
                      <a:ext cx="5734050" cy="2393950"/>
                    </a:xfrm>
                    <a:prstGeom prst="rect">
                      <a:avLst/>
                    </a:prstGeom>
                    <a:ln/>
                  </pic:spPr>
                </pic:pic>
              </a:graphicData>
            </a:graphic>
          </wp:inline>
        </w:drawing>
      </w:r>
    </w:p>
    <w:p w14:paraId="3C723432" w14:textId="77777777" w:rsidR="002B1F19" w:rsidRDefault="002B1F19">
      <w:pPr>
        <w:jc w:val="both"/>
        <w:rPr>
          <w:rFonts w:ascii="Garamond" w:eastAsia="Garamond" w:hAnsi="Garamond" w:cs="Garamond"/>
          <w:sz w:val="24"/>
          <w:szCs w:val="24"/>
        </w:rPr>
      </w:pPr>
    </w:p>
    <w:p w14:paraId="044930D8" w14:textId="77777777" w:rsidR="002B1F19" w:rsidRDefault="002B1F19">
      <w:pPr>
        <w:jc w:val="both"/>
        <w:rPr>
          <w:rFonts w:ascii="Garamond" w:eastAsia="Garamond" w:hAnsi="Garamond" w:cs="Garamond"/>
          <w:sz w:val="24"/>
          <w:szCs w:val="24"/>
        </w:rPr>
      </w:pPr>
    </w:p>
    <w:p w14:paraId="06E3774F" w14:textId="77777777" w:rsidR="002B1F19" w:rsidRDefault="00F80E55">
      <w:pPr>
        <w:jc w:val="center"/>
        <w:rPr>
          <w:rFonts w:ascii="Garamond" w:eastAsia="Garamond" w:hAnsi="Garamond" w:cs="Garamond"/>
          <w:b/>
          <w:sz w:val="24"/>
          <w:szCs w:val="24"/>
        </w:rPr>
      </w:pPr>
      <w:r>
        <w:rPr>
          <w:rFonts w:ascii="Garamond" w:eastAsia="Garamond" w:hAnsi="Garamond" w:cs="Garamond"/>
          <w:b/>
          <w:sz w:val="24"/>
          <w:szCs w:val="24"/>
        </w:rPr>
        <w:t>3. Desempeño en los Ranking de investigación</w:t>
      </w:r>
    </w:p>
    <w:p w14:paraId="5F64C4F3" w14:textId="77777777" w:rsidR="002B1F19" w:rsidRDefault="002B1F19">
      <w:pPr>
        <w:jc w:val="center"/>
        <w:rPr>
          <w:rFonts w:ascii="Garamond" w:eastAsia="Garamond" w:hAnsi="Garamond" w:cs="Garamond"/>
          <w:b/>
          <w:sz w:val="24"/>
          <w:szCs w:val="24"/>
        </w:rPr>
      </w:pPr>
    </w:p>
    <w:p w14:paraId="37E48169" w14:textId="77777777" w:rsidR="002B1F19" w:rsidRDefault="00F80E55">
      <w:pPr>
        <w:jc w:val="both"/>
        <w:rPr>
          <w:rFonts w:ascii="Garamond" w:eastAsia="Garamond" w:hAnsi="Garamond" w:cs="Garamond"/>
          <w:b/>
          <w:sz w:val="24"/>
          <w:szCs w:val="24"/>
        </w:rPr>
      </w:pPr>
      <w:r>
        <w:rPr>
          <w:rFonts w:ascii="Garamond" w:eastAsia="Garamond" w:hAnsi="Garamond" w:cs="Garamond"/>
          <w:b/>
          <w:sz w:val="24"/>
          <w:szCs w:val="24"/>
        </w:rPr>
        <w:t>Ranking Scimago</w:t>
      </w:r>
    </w:p>
    <w:p w14:paraId="54455888" w14:textId="77777777" w:rsidR="002B1F19" w:rsidRDefault="002B1F19">
      <w:pPr>
        <w:jc w:val="both"/>
        <w:rPr>
          <w:rFonts w:ascii="Garamond" w:eastAsia="Garamond" w:hAnsi="Garamond" w:cs="Garamond"/>
          <w:sz w:val="24"/>
          <w:szCs w:val="24"/>
        </w:rPr>
      </w:pPr>
    </w:p>
    <w:p w14:paraId="03624CE0"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 xml:space="preserve">Por su relevancia y alcance es importante tener en cuenta el ranking </w:t>
      </w:r>
      <w:r>
        <w:rPr>
          <w:rFonts w:ascii="Garamond" w:eastAsia="Garamond" w:hAnsi="Garamond" w:cs="Garamond"/>
          <w:i/>
          <w:sz w:val="24"/>
          <w:szCs w:val="24"/>
        </w:rPr>
        <w:t xml:space="preserve">Scimago </w:t>
      </w:r>
      <w:r>
        <w:rPr>
          <w:rFonts w:ascii="Garamond" w:eastAsia="Garamond" w:hAnsi="Garamond" w:cs="Garamond"/>
          <w:sz w:val="24"/>
          <w:szCs w:val="24"/>
        </w:rPr>
        <w:t xml:space="preserve">en el cual la Universidad </w:t>
      </w:r>
      <w:r>
        <w:rPr>
          <w:rFonts w:ascii="Garamond" w:eastAsia="Garamond" w:hAnsi="Garamond" w:cs="Garamond"/>
          <w:sz w:val="24"/>
          <w:szCs w:val="24"/>
        </w:rPr>
        <w:t>de Caldas aparece por primera vez en el año 2015. Cabe aclarar que dicha medición considera tres aspectos con su respectivo porcentaje: investigación (50%), innovación (30%) y sociedad (20%). En la siguiente tabla se presentan los datos relativos a la posi</w:t>
      </w:r>
      <w:r>
        <w:rPr>
          <w:rFonts w:ascii="Garamond" w:eastAsia="Garamond" w:hAnsi="Garamond" w:cs="Garamond"/>
          <w:sz w:val="24"/>
          <w:szCs w:val="24"/>
        </w:rPr>
        <w:t>ción de la institución en Latinoamérica.</w:t>
      </w:r>
    </w:p>
    <w:p w14:paraId="6D2BDD54" w14:textId="77777777" w:rsidR="002B1F19" w:rsidRDefault="002B1F19">
      <w:pPr>
        <w:jc w:val="both"/>
        <w:rPr>
          <w:rFonts w:ascii="Garamond" w:eastAsia="Garamond" w:hAnsi="Garamond" w:cs="Garamond"/>
          <w:sz w:val="24"/>
          <w:szCs w:val="24"/>
        </w:rPr>
      </w:pP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2B1F19" w14:paraId="307268CF" w14:textId="77777777">
        <w:tc>
          <w:tcPr>
            <w:tcW w:w="1504" w:type="dxa"/>
            <w:shd w:val="clear" w:color="auto" w:fill="auto"/>
            <w:tcMar>
              <w:top w:w="100" w:type="dxa"/>
              <w:left w:w="100" w:type="dxa"/>
              <w:bottom w:w="100" w:type="dxa"/>
              <w:right w:w="100" w:type="dxa"/>
            </w:tcMar>
          </w:tcPr>
          <w:p w14:paraId="46D6C2F2" w14:textId="77777777" w:rsidR="002B1F19" w:rsidRDefault="002B1F19">
            <w:pPr>
              <w:widowControl w:val="0"/>
              <w:pBdr>
                <w:top w:val="nil"/>
                <w:left w:val="nil"/>
                <w:bottom w:val="nil"/>
                <w:right w:val="nil"/>
                <w:between w:val="nil"/>
              </w:pBdr>
              <w:spacing w:line="240" w:lineRule="auto"/>
              <w:rPr>
                <w:rFonts w:ascii="Garamond" w:eastAsia="Garamond" w:hAnsi="Garamond" w:cs="Garamond"/>
                <w:sz w:val="20"/>
                <w:szCs w:val="20"/>
              </w:rPr>
            </w:pPr>
          </w:p>
        </w:tc>
        <w:tc>
          <w:tcPr>
            <w:tcW w:w="1504" w:type="dxa"/>
            <w:shd w:val="clear" w:color="auto" w:fill="auto"/>
            <w:tcMar>
              <w:top w:w="100" w:type="dxa"/>
              <w:left w:w="100" w:type="dxa"/>
              <w:bottom w:w="100" w:type="dxa"/>
              <w:right w:w="100" w:type="dxa"/>
            </w:tcMar>
          </w:tcPr>
          <w:p w14:paraId="38019941" w14:textId="77777777" w:rsidR="002B1F19" w:rsidRDefault="00F80E55">
            <w:pPr>
              <w:widowControl w:val="0"/>
              <w:spacing w:line="240" w:lineRule="auto"/>
              <w:rPr>
                <w:rFonts w:ascii="Garamond" w:eastAsia="Garamond" w:hAnsi="Garamond" w:cs="Garamond"/>
                <w:b/>
                <w:sz w:val="20"/>
                <w:szCs w:val="20"/>
              </w:rPr>
            </w:pPr>
            <w:r>
              <w:rPr>
                <w:rFonts w:ascii="Garamond" w:eastAsia="Garamond" w:hAnsi="Garamond" w:cs="Garamond"/>
                <w:b/>
                <w:sz w:val="20"/>
                <w:szCs w:val="20"/>
              </w:rPr>
              <w:t>2015</w:t>
            </w:r>
          </w:p>
        </w:tc>
        <w:tc>
          <w:tcPr>
            <w:tcW w:w="1504" w:type="dxa"/>
            <w:shd w:val="clear" w:color="auto" w:fill="auto"/>
            <w:tcMar>
              <w:top w:w="100" w:type="dxa"/>
              <w:left w:w="100" w:type="dxa"/>
              <w:bottom w:w="100" w:type="dxa"/>
              <w:right w:w="100" w:type="dxa"/>
            </w:tcMar>
          </w:tcPr>
          <w:p w14:paraId="30611633" w14:textId="77777777" w:rsidR="002B1F19" w:rsidRDefault="00F80E55">
            <w:pPr>
              <w:widowControl w:val="0"/>
              <w:spacing w:line="240" w:lineRule="auto"/>
              <w:rPr>
                <w:rFonts w:ascii="Garamond" w:eastAsia="Garamond" w:hAnsi="Garamond" w:cs="Garamond"/>
                <w:b/>
                <w:sz w:val="20"/>
                <w:szCs w:val="20"/>
              </w:rPr>
            </w:pPr>
            <w:r>
              <w:rPr>
                <w:rFonts w:ascii="Garamond" w:eastAsia="Garamond" w:hAnsi="Garamond" w:cs="Garamond"/>
                <w:b/>
                <w:sz w:val="20"/>
                <w:szCs w:val="20"/>
              </w:rPr>
              <w:t>2016</w:t>
            </w:r>
          </w:p>
        </w:tc>
        <w:tc>
          <w:tcPr>
            <w:tcW w:w="1504" w:type="dxa"/>
            <w:shd w:val="clear" w:color="auto" w:fill="auto"/>
            <w:tcMar>
              <w:top w:w="100" w:type="dxa"/>
              <w:left w:w="100" w:type="dxa"/>
              <w:bottom w:w="100" w:type="dxa"/>
              <w:right w:w="100" w:type="dxa"/>
            </w:tcMar>
          </w:tcPr>
          <w:p w14:paraId="179D763A" w14:textId="77777777" w:rsidR="002B1F19" w:rsidRDefault="00F80E55">
            <w:pPr>
              <w:widowControl w:val="0"/>
              <w:spacing w:line="240" w:lineRule="auto"/>
              <w:rPr>
                <w:rFonts w:ascii="Garamond" w:eastAsia="Garamond" w:hAnsi="Garamond" w:cs="Garamond"/>
                <w:b/>
                <w:sz w:val="20"/>
                <w:szCs w:val="20"/>
              </w:rPr>
            </w:pPr>
            <w:r>
              <w:rPr>
                <w:rFonts w:ascii="Garamond" w:eastAsia="Garamond" w:hAnsi="Garamond" w:cs="Garamond"/>
                <w:b/>
                <w:sz w:val="20"/>
                <w:szCs w:val="20"/>
              </w:rPr>
              <w:t>2017</w:t>
            </w:r>
          </w:p>
        </w:tc>
        <w:tc>
          <w:tcPr>
            <w:tcW w:w="1504" w:type="dxa"/>
            <w:shd w:val="clear" w:color="auto" w:fill="auto"/>
            <w:tcMar>
              <w:top w:w="100" w:type="dxa"/>
              <w:left w:w="100" w:type="dxa"/>
              <w:bottom w:w="100" w:type="dxa"/>
              <w:right w:w="100" w:type="dxa"/>
            </w:tcMar>
          </w:tcPr>
          <w:p w14:paraId="0ECD3E6E" w14:textId="77777777" w:rsidR="002B1F19" w:rsidRDefault="00F80E55">
            <w:pPr>
              <w:widowControl w:val="0"/>
              <w:spacing w:line="240" w:lineRule="auto"/>
              <w:rPr>
                <w:rFonts w:ascii="Garamond" w:eastAsia="Garamond" w:hAnsi="Garamond" w:cs="Garamond"/>
                <w:b/>
                <w:sz w:val="20"/>
                <w:szCs w:val="20"/>
              </w:rPr>
            </w:pPr>
            <w:r>
              <w:rPr>
                <w:rFonts w:ascii="Garamond" w:eastAsia="Garamond" w:hAnsi="Garamond" w:cs="Garamond"/>
                <w:b/>
                <w:sz w:val="20"/>
                <w:szCs w:val="20"/>
              </w:rPr>
              <w:t>2018</w:t>
            </w:r>
          </w:p>
        </w:tc>
        <w:tc>
          <w:tcPr>
            <w:tcW w:w="1504" w:type="dxa"/>
            <w:shd w:val="clear" w:color="auto" w:fill="auto"/>
            <w:tcMar>
              <w:top w:w="100" w:type="dxa"/>
              <w:left w:w="100" w:type="dxa"/>
              <w:bottom w:w="100" w:type="dxa"/>
              <w:right w:w="100" w:type="dxa"/>
            </w:tcMar>
          </w:tcPr>
          <w:p w14:paraId="72E0ADA4" w14:textId="77777777" w:rsidR="002B1F19" w:rsidRDefault="00F80E55">
            <w:pPr>
              <w:widowControl w:val="0"/>
              <w:spacing w:line="240" w:lineRule="auto"/>
              <w:rPr>
                <w:rFonts w:ascii="Garamond" w:eastAsia="Garamond" w:hAnsi="Garamond" w:cs="Garamond"/>
                <w:b/>
                <w:sz w:val="20"/>
                <w:szCs w:val="20"/>
              </w:rPr>
            </w:pPr>
            <w:r>
              <w:rPr>
                <w:rFonts w:ascii="Garamond" w:eastAsia="Garamond" w:hAnsi="Garamond" w:cs="Garamond"/>
                <w:b/>
                <w:sz w:val="20"/>
                <w:szCs w:val="20"/>
              </w:rPr>
              <w:t>2019</w:t>
            </w:r>
          </w:p>
        </w:tc>
      </w:tr>
      <w:tr w:rsidR="002B1F19" w14:paraId="7ACF8531" w14:textId="77777777">
        <w:tc>
          <w:tcPr>
            <w:tcW w:w="1504" w:type="dxa"/>
            <w:shd w:val="clear" w:color="auto" w:fill="auto"/>
            <w:tcMar>
              <w:top w:w="100" w:type="dxa"/>
              <w:left w:w="100" w:type="dxa"/>
              <w:bottom w:w="100" w:type="dxa"/>
              <w:right w:w="100" w:type="dxa"/>
            </w:tcMar>
          </w:tcPr>
          <w:p w14:paraId="302BAD55" w14:textId="77777777" w:rsidR="002B1F19" w:rsidRDefault="00F80E55">
            <w:pPr>
              <w:widowControl w:val="0"/>
              <w:pBdr>
                <w:top w:val="nil"/>
                <w:left w:val="nil"/>
                <w:bottom w:val="nil"/>
                <w:right w:val="nil"/>
                <w:between w:val="nil"/>
              </w:pBdr>
              <w:spacing w:line="240" w:lineRule="auto"/>
              <w:rPr>
                <w:rFonts w:ascii="Garamond" w:eastAsia="Garamond" w:hAnsi="Garamond" w:cs="Garamond"/>
                <w:i/>
                <w:sz w:val="20"/>
                <w:szCs w:val="20"/>
              </w:rPr>
            </w:pPr>
            <w:r>
              <w:rPr>
                <w:rFonts w:ascii="Garamond" w:eastAsia="Garamond" w:hAnsi="Garamond" w:cs="Garamond"/>
                <w:i/>
                <w:sz w:val="20"/>
                <w:szCs w:val="20"/>
              </w:rPr>
              <w:t>Posición en Latinoamérica</w:t>
            </w:r>
          </w:p>
        </w:tc>
        <w:tc>
          <w:tcPr>
            <w:tcW w:w="1504" w:type="dxa"/>
            <w:shd w:val="clear" w:color="auto" w:fill="auto"/>
            <w:tcMar>
              <w:top w:w="100" w:type="dxa"/>
              <w:left w:w="100" w:type="dxa"/>
              <w:bottom w:w="100" w:type="dxa"/>
              <w:right w:w="100" w:type="dxa"/>
            </w:tcMar>
          </w:tcPr>
          <w:p w14:paraId="16A57172" w14:textId="77777777" w:rsidR="002B1F19" w:rsidRDefault="00F80E55">
            <w:pPr>
              <w:widowControl w:val="0"/>
              <w:pBdr>
                <w:top w:val="nil"/>
                <w:left w:val="nil"/>
                <w:bottom w:val="nil"/>
                <w:right w:val="nil"/>
                <w:between w:val="nil"/>
              </w:pBdr>
              <w:spacing w:line="240" w:lineRule="auto"/>
              <w:rPr>
                <w:rFonts w:ascii="Garamond" w:eastAsia="Garamond" w:hAnsi="Garamond" w:cs="Garamond"/>
                <w:sz w:val="20"/>
                <w:szCs w:val="20"/>
              </w:rPr>
            </w:pPr>
            <w:r>
              <w:rPr>
                <w:rFonts w:ascii="Garamond" w:eastAsia="Garamond" w:hAnsi="Garamond" w:cs="Garamond"/>
                <w:sz w:val="20"/>
                <w:szCs w:val="20"/>
              </w:rPr>
              <w:t>115</w:t>
            </w:r>
          </w:p>
        </w:tc>
        <w:tc>
          <w:tcPr>
            <w:tcW w:w="1504" w:type="dxa"/>
            <w:shd w:val="clear" w:color="auto" w:fill="auto"/>
            <w:tcMar>
              <w:top w:w="100" w:type="dxa"/>
              <w:left w:w="100" w:type="dxa"/>
              <w:bottom w:w="100" w:type="dxa"/>
              <w:right w:w="100" w:type="dxa"/>
            </w:tcMar>
          </w:tcPr>
          <w:p w14:paraId="63FDD48A" w14:textId="77777777" w:rsidR="002B1F19" w:rsidRDefault="00F80E55">
            <w:pPr>
              <w:widowControl w:val="0"/>
              <w:pBdr>
                <w:top w:val="nil"/>
                <w:left w:val="nil"/>
                <w:bottom w:val="nil"/>
                <w:right w:val="nil"/>
                <w:between w:val="nil"/>
              </w:pBdr>
              <w:spacing w:line="240" w:lineRule="auto"/>
              <w:rPr>
                <w:rFonts w:ascii="Garamond" w:eastAsia="Garamond" w:hAnsi="Garamond" w:cs="Garamond"/>
                <w:sz w:val="20"/>
                <w:szCs w:val="20"/>
              </w:rPr>
            </w:pPr>
            <w:r>
              <w:rPr>
                <w:rFonts w:ascii="Garamond" w:eastAsia="Garamond" w:hAnsi="Garamond" w:cs="Garamond"/>
                <w:sz w:val="20"/>
                <w:szCs w:val="20"/>
              </w:rPr>
              <w:t>116</w:t>
            </w:r>
          </w:p>
        </w:tc>
        <w:tc>
          <w:tcPr>
            <w:tcW w:w="1504" w:type="dxa"/>
            <w:shd w:val="clear" w:color="auto" w:fill="auto"/>
            <w:tcMar>
              <w:top w:w="100" w:type="dxa"/>
              <w:left w:w="100" w:type="dxa"/>
              <w:bottom w:w="100" w:type="dxa"/>
              <w:right w:w="100" w:type="dxa"/>
            </w:tcMar>
          </w:tcPr>
          <w:p w14:paraId="1BCF9FD5" w14:textId="77777777" w:rsidR="002B1F19" w:rsidRDefault="00F80E55">
            <w:pPr>
              <w:widowControl w:val="0"/>
              <w:pBdr>
                <w:top w:val="nil"/>
                <w:left w:val="nil"/>
                <w:bottom w:val="nil"/>
                <w:right w:val="nil"/>
                <w:between w:val="nil"/>
              </w:pBdr>
              <w:spacing w:line="240" w:lineRule="auto"/>
              <w:rPr>
                <w:rFonts w:ascii="Garamond" w:eastAsia="Garamond" w:hAnsi="Garamond" w:cs="Garamond"/>
                <w:sz w:val="20"/>
                <w:szCs w:val="20"/>
              </w:rPr>
            </w:pPr>
            <w:r>
              <w:rPr>
                <w:rFonts w:ascii="Garamond" w:eastAsia="Garamond" w:hAnsi="Garamond" w:cs="Garamond"/>
                <w:sz w:val="20"/>
                <w:szCs w:val="20"/>
              </w:rPr>
              <w:t>121</w:t>
            </w:r>
          </w:p>
        </w:tc>
        <w:tc>
          <w:tcPr>
            <w:tcW w:w="1504" w:type="dxa"/>
            <w:shd w:val="clear" w:color="auto" w:fill="auto"/>
            <w:tcMar>
              <w:top w:w="100" w:type="dxa"/>
              <w:left w:w="100" w:type="dxa"/>
              <w:bottom w:w="100" w:type="dxa"/>
              <w:right w:w="100" w:type="dxa"/>
            </w:tcMar>
          </w:tcPr>
          <w:p w14:paraId="07335EDC" w14:textId="77777777" w:rsidR="002B1F19" w:rsidRDefault="00F80E55">
            <w:pPr>
              <w:widowControl w:val="0"/>
              <w:pBdr>
                <w:top w:val="nil"/>
                <w:left w:val="nil"/>
                <w:bottom w:val="nil"/>
                <w:right w:val="nil"/>
                <w:between w:val="nil"/>
              </w:pBdr>
              <w:spacing w:line="240" w:lineRule="auto"/>
              <w:rPr>
                <w:rFonts w:ascii="Garamond" w:eastAsia="Garamond" w:hAnsi="Garamond" w:cs="Garamond"/>
                <w:sz w:val="20"/>
                <w:szCs w:val="20"/>
              </w:rPr>
            </w:pPr>
            <w:r>
              <w:rPr>
                <w:rFonts w:ascii="Garamond" w:eastAsia="Garamond" w:hAnsi="Garamond" w:cs="Garamond"/>
                <w:sz w:val="20"/>
                <w:szCs w:val="20"/>
              </w:rPr>
              <w:t>133</w:t>
            </w:r>
          </w:p>
        </w:tc>
        <w:tc>
          <w:tcPr>
            <w:tcW w:w="1504" w:type="dxa"/>
            <w:shd w:val="clear" w:color="auto" w:fill="auto"/>
            <w:tcMar>
              <w:top w:w="100" w:type="dxa"/>
              <w:left w:w="100" w:type="dxa"/>
              <w:bottom w:w="100" w:type="dxa"/>
              <w:right w:w="100" w:type="dxa"/>
            </w:tcMar>
          </w:tcPr>
          <w:p w14:paraId="58CAE567" w14:textId="77777777" w:rsidR="002B1F19" w:rsidRDefault="00F80E55">
            <w:pPr>
              <w:widowControl w:val="0"/>
              <w:pBdr>
                <w:top w:val="nil"/>
                <w:left w:val="nil"/>
                <w:bottom w:val="nil"/>
                <w:right w:val="nil"/>
                <w:between w:val="nil"/>
              </w:pBdr>
              <w:spacing w:line="240" w:lineRule="auto"/>
              <w:rPr>
                <w:rFonts w:ascii="Garamond" w:eastAsia="Garamond" w:hAnsi="Garamond" w:cs="Garamond"/>
                <w:sz w:val="20"/>
                <w:szCs w:val="20"/>
              </w:rPr>
            </w:pPr>
            <w:r>
              <w:rPr>
                <w:rFonts w:ascii="Garamond" w:eastAsia="Garamond" w:hAnsi="Garamond" w:cs="Garamond"/>
                <w:sz w:val="20"/>
                <w:szCs w:val="20"/>
              </w:rPr>
              <w:t>105</w:t>
            </w:r>
          </w:p>
        </w:tc>
      </w:tr>
      <w:tr w:rsidR="002B1F19" w14:paraId="75A03197" w14:textId="77777777">
        <w:tc>
          <w:tcPr>
            <w:tcW w:w="1504" w:type="dxa"/>
            <w:shd w:val="clear" w:color="auto" w:fill="auto"/>
            <w:tcMar>
              <w:top w:w="100" w:type="dxa"/>
              <w:left w:w="100" w:type="dxa"/>
              <w:bottom w:w="100" w:type="dxa"/>
              <w:right w:w="100" w:type="dxa"/>
            </w:tcMar>
          </w:tcPr>
          <w:p w14:paraId="0635B4C5" w14:textId="77777777" w:rsidR="002B1F19" w:rsidRDefault="00F80E55">
            <w:pPr>
              <w:widowControl w:val="0"/>
              <w:pBdr>
                <w:top w:val="nil"/>
                <w:left w:val="nil"/>
                <w:bottom w:val="nil"/>
                <w:right w:val="nil"/>
                <w:between w:val="nil"/>
              </w:pBdr>
              <w:spacing w:line="240" w:lineRule="auto"/>
              <w:rPr>
                <w:rFonts w:ascii="Garamond" w:eastAsia="Garamond" w:hAnsi="Garamond" w:cs="Garamond"/>
                <w:i/>
                <w:sz w:val="20"/>
                <w:szCs w:val="20"/>
              </w:rPr>
            </w:pPr>
            <w:r>
              <w:rPr>
                <w:rFonts w:ascii="Garamond" w:eastAsia="Garamond" w:hAnsi="Garamond" w:cs="Garamond"/>
                <w:i/>
                <w:sz w:val="20"/>
                <w:szCs w:val="20"/>
              </w:rPr>
              <w:t>Número de instituciones en el ranking</w:t>
            </w:r>
          </w:p>
        </w:tc>
        <w:tc>
          <w:tcPr>
            <w:tcW w:w="1504" w:type="dxa"/>
            <w:shd w:val="clear" w:color="auto" w:fill="auto"/>
            <w:tcMar>
              <w:top w:w="100" w:type="dxa"/>
              <w:left w:w="100" w:type="dxa"/>
              <w:bottom w:w="100" w:type="dxa"/>
              <w:right w:w="100" w:type="dxa"/>
            </w:tcMar>
          </w:tcPr>
          <w:p w14:paraId="5564A8BB" w14:textId="77777777" w:rsidR="002B1F19" w:rsidRDefault="00F80E55">
            <w:pPr>
              <w:widowControl w:val="0"/>
              <w:pBdr>
                <w:top w:val="nil"/>
                <w:left w:val="nil"/>
                <w:bottom w:val="nil"/>
                <w:right w:val="nil"/>
                <w:between w:val="nil"/>
              </w:pBdr>
              <w:spacing w:line="240" w:lineRule="auto"/>
              <w:rPr>
                <w:rFonts w:ascii="Garamond" w:eastAsia="Garamond" w:hAnsi="Garamond" w:cs="Garamond"/>
                <w:sz w:val="20"/>
                <w:szCs w:val="20"/>
              </w:rPr>
            </w:pPr>
            <w:r>
              <w:rPr>
                <w:rFonts w:ascii="Garamond" w:eastAsia="Garamond" w:hAnsi="Garamond" w:cs="Garamond"/>
                <w:sz w:val="20"/>
                <w:szCs w:val="20"/>
              </w:rPr>
              <w:t>286</w:t>
            </w:r>
          </w:p>
        </w:tc>
        <w:tc>
          <w:tcPr>
            <w:tcW w:w="1504" w:type="dxa"/>
            <w:shd w:val="clear" w:color="auto" w:fill="auto"/>
            <w:tcMar>
              <w:top w:w="100" w:type="dxa"/>
              <w:left w:w="100" w:type="dxa"/>
              <w:bottom w:w="100" w:type="dxa"/>
              <w:right w:w="100" w:type="dxa"/>
            </w:tcMar>
          </w:tcPr>
          <w:p w14:paraId="11A9EC7F" w14:textId="77777777" w:rsidR="002B1F19" w:rsidRDefault="00F80E55">
            <w:pPr>
              <w:widowControl w:val="0"/>
              <w:pBdr>
                <w:top w:val="nil"/>
                <w:left w:val="nil"/>
                <w:bottom w:val="nil"/>
                <w:right w:val="nil"/>
                <w:between w:val="nil"/>
              </w:pBdr>
              <w:spacing w:line="240" w:lineRule="auto"/>
              <w:rPr>
                <w:rFonts w:ascii="Garamond" w:eastAsia="Garamond" w:hAnsi="Garamond" w:cs="Garamond"/>
                <w:sz w:val="20"/>
                <w:szCs w:val="20"/>
              </w:rPr>
            </w:pPr>
            <w:r>
              <w:rPr>
                <w:rFonts w:ascii="Garamond" w:eastAsia="Garamond" w:hAnsi="Garamond" w:cs="Garamond"/>
                <w:sz w:val="20"/>
                <w:szCs w:val="20"/>
              </w:rPr>
              <w:t>291</w:t>
            </w:r>
          </w:p>
        </w:tc>
        <w:tc>
          <w:tcPr>
            <w:tcW w:w="1504" w:type="dxa"/>
            <w:shd w:val="clear" w:color="auto" w:fill="auto"/>
            <w:tcMar>
              <w:top w:w="100" w:type="dxa"/>
              <w:left w:w="100" w:type="dxa"/>
              <w:bottom w:w="100" w:type="dxa"/>
              <w:right w:w="100" w:type="dxa"/>
            </w:tcMar>
          </w:tcPr>
          <w:p w14:paraId="3EE28074" w14:textId="77777777" w:rsidR="002B1F19" w:rsidRDefault="00F80E55">
            <w:pPr>
              <w:widowControl w:val="0"/>
              <w:pBdr>
                <w:top w:val="nil"/>
                <w:left w:val="nil"/>
                <w:bottom w:val="nil"/>
                <w:right w:val="nil"/>
                <w:between w:val="nil"/>
              </w:pBdr>
              <w:spacing w:line="240" w:lineRule="auto"/>
              <w:rPr>
                <w:rFonts w:ascii="Garamond" w:eastAsia="Garamond" w:hAnsi="Garamond" w:cs="Garamond"/>
                <w:sz w:val="20"/>
                <w:szCs w:val="20"/>
              </w:rPr>
            </w:pPr>
            <w:r>
              <w:rPr>
                <w:rFonts w:ascii="Garamond" w:eastAsia="Garamond" w:hAnsi="Garamond" w:cs="Garamond"/>
                <w:sz w:val="20"/>
                <w:szCs w:val="20"/>
              </w:rPr>
              <w:t>312</w:t>
            </w:r>
          </w:p>
        </w:tc>
        <w:tc>
          <w:tcPr>
            <w:tcW w:w="1504" w:type="dxa"/>
            <w:shd w:val="clear" w:color="auto" w:fill="auto"/>
            <w:tcMar>
              <w:top w:w="100" w:type="dxa"/>
              <w:left w:w="100" w:type="dxa"/>
              <w:bottom w:w="100" w:type="dxa"/>
              <w:right w:w="100" w:type="dxa"/>
            </w:tcMar>
          </w:tcPr>
          <w:p w14:paraId="1266C473" w14:textId="77777777" w:rsidR="002B1F19" w:rsidRDefault="00F80E55">
            <w:pPr>
              <w:widowControl w:val="0"/>
              <w:pBdr>
                <w:top w:val="nil"/>
                <w:left w:val="nil"/>
                <w:bottom w:val="nil"/>
                <w:right w:val="nil"/>
                <w:between w:val="nil"/>
              </w:pBdr>
              <w:spacing w:line="240" w:lineRule="auto"/>
              <w:rPr>
                <w:rFonts w:ascii="Garamond" w:eastAsia="Garamond" w:hAnsi="Garamond" w:cs="Garamond"/>
                <w:sz w:val="20"/>
                <w:szCs w:val="20"/>
              </w:rPr>
            </w:pPr>
            <w:r>
              <w:rPr>
                <w:rFonts w:ascii="Garamond" w:eastAsia="Garamond" w:hAnsi="Garamond" w:cs="Garamond"/>
                <w:sz w:val="20"/>
                <w:szCs w:val="20"/>
              </w:rPr>
              <w:t>355</w:t>
            </w:r>
          </w:p>
        </w:tc>
        <w:tc>
          <w:tcPr>
            <w:tcW w:w="1504" w:type="dxa"/>
            <w:shd w:val="clear" w:color="auto" w:fill="auto"/>
            <w:tcMar>
              <w:top w:w="100" w:type="dxa"/>
              <w:left w:w="100" w:type="dxa"/>
              <w:bottom w:w="100" w:type="dxa"/>
              <w:right w:w="100" w:type="dxa"/>
            </w:tcMar>
          </w:tcPr>
          <w:p w14:paraId="0B8B2F3F" w14:textId="77777777" w:rsidR="002B1F19" w:rsidRDefault="00F80E55">
            <w:pPr>
              <w:widowControl w:val="0"/>
              <w:pBdr>
                <w:top w:val="nil"/>
                <w:left w:val="nil"/>
                <w:bottom w:val="nil"/>
                <w:right w:val="nil"/>
                <w:between w:val="nil"/>
              </w:pBdr>
              <w:spacing w:line="240" w:lineRule="auto"/>
              <w:rPr>
                <w:rFonts w:ascii="Garamond" w:eastAsia="Garamond" w:hAnsi="Garamond" w:cs="Garamond"/>
                <w:sz w:val="20"/>
                <w:szCs w:val="20"/>
              </w:rPr>
            </w:pPr>
            <w:r>
              <w:rPr>
                <w:rFonts w:ascii="Garamond" w:eastAsia="Garamond" w:hAnsi="Garamond" w:cs="Garamond"/>
                <w:sz w:val="20"/>
                <w:szCs w:val="20"/>
              </w:rPr>
              <w:t>400</w:t>
            </w:r>
          </w:p>
        </w:tc>
      </w:tr>
      <w:tr w:rsidR="002B1F19" w14:paraId="3959AADD" w14:textId="77777777">
        <w:tc>
          <w:tcPr>
            <w:tcW w:w="1504" w:type="dxa"/>
            <w:shd w:val="clear" w:color="auto" w:fill="auto"/>
            <w:tcMar>
              <w:top w:w="100" w:type="dxa"/>
              <w:left w:w="100" w:type="dxa"/>
              <w:bottom w:w="100" w:type="dxa"/>
              <w:right w:w="100" w:type="dxa"/>
            </w:tcMar>
          </w:tcPr>
          <w:p w14:paraId="1D9B666B" w14:textId="77777777" w:rsidR="002B1F19" w:rsidRDefault="00F80E55">
            <w:pPr>
              <w:widowControl w:val="0"/>
              <w:pBdr>
                <w:top w:val="nil"/>
                <w:left w:val="nil"/>
                <w:bottom w:val="nil"/>
                <w:right w:val="nil"/>
                <w:between w:val="nil"/>
              </w:pBdr>
              <w:spacing w:line="240" w:lineRule="auto"/>
              <w:rPr>
                <w:rFonts w:ascii="Garamond" w:eastAsia="Garamond" w:hAnsi="Garamond" w:cs="Garamond"/>
                <w:i/>
                <w:sz w:val="20"/>
                <w:szCs w:val="20"/>
              </w:rPr>
            </w:pPr>
            <w:r>
              <w:rPr>
                <w:rFonts w:ascii="Garamond" w:eastAsia="Garamond" w:hAnsi="Garamond" w:cs="Garamond"/>
                <w:i/>
                <w:sz w:val="20"/>
                <w:szCs w:val="20"/>
              </w:rPr>
              <w:t>Número de instituciones en la misma posición</w:t>
            </w:r>
          </w:p>
        </w:tc>
        <w:tc>
          <w:tcPr>
            <w:tcW w:w="1504" w:type="dxa"/>
            <w:shd w:val="clear" w:color="auto" w:fill="auto"/>
            <w:tcMar>
              <w:top w:w="100" w:type="dxa"/>
              <w:left w:w="100" w:type="dxa"/>
              <w:bottom w:w="100" w:type="dxa"/>
              <w:right w:w="100" w:type="dxa"/>
            </w:tcMar>
          </w:tcPr>
          <w:p w14:paraId="6DB4D462" w14:textId="77777777" w:rsidR="002B1F19" w:rsidRDefault="00F80E55">
            <w:pPr>
              <w:widowControl w:val="0"/>
              <w:pBdr>
                <w:top w:val="nil"/>
                <w:left w:val="nil"/>
                <w:bottom w:val="nil"/>
                <w:right w:val="nil"/>
                <w:between w:val="nil"/>
              </w:pBdr>
              <w:spacing w:line="240" w:lineRule="auto"/>
              <w:rPr>
                <w:rFonts w:ascii="Garamond" w:eastAsia="Garamond" w:hAnsi="Garamond" w:cs="Garamond"/>
                <w:sz w:val="20"/>
                <w:szCs w:val="20"/>
              </w:rPr>
            </w:pPr>
            <w:r>
              <w:rPr>
                <w:rFonts w:ascii="Garamond" w:eastAsia="Garamond" w:hAnsi="Garamond" w:cs="Garamond"/>
                <w:sz w:val="20"/>
                <w:szCs w:val="20"/>
              </w:rPr>
              <w:t>3</w:t>
            </w:r>
          </w:p>
        </w:tc>
        <w:tc>
          <w:tcPr>
            <w:tcW w:w="1504" w:type="dxa"/>
            <w:shd w:val="clear" w:color="auto" w:fill="auto"/>
            <w:tcMar>
              <w:top w:w="100" w:type="dxa"/>
              <w:left w:w="100" w:type="dxa"/>
              <w:bottom w:w="100" w:type="dxa"/>
              <w:right w:w="100" w:type="dxa"/>
            </w:tcMar>
          </w:tcPr>
          <w:p w14:paraId="4D44B8AC" w14:textId="77777777" w:rsidR="002B1F19" w:rsidRDefault="00F80E55">
            <w:pPr>
              <w:widowControl w:val="0"/>
              <w:pBdr>
                <w:top w:val="nil"/>
                <w:left w:val="nil"/>
                <w:bottom w:val="nil"/>
                <w:right w:val="nil"/>
                <w:between w:val="nil"/>
              </w:pBdr>
              <w:spacing w:line="240" w:lineRule="auto"/>
              <w:rPr>
                <w:rFonts w:ascii="Garamond" w:eastAsia="Garamond" w:hAnsi="Garamond" w:cs="Garamond"/>
                <w:sz w:val="20"/>
                <w:szCs w:val="20"/>
              </w:rPr>
            </w:pPr>
            <w:r>
              <w:rPr>
                <w:rFonts w:ascii="Garamond" w:eastAsia="Garamond" w:hAnsi="Garamond" w:cs="Garamond"/>
                <w:sz w:val="20"/>
                <w:szCs w:val="20"/>
              </w:rPr>
              <w:t>4</w:t>
            </w:r>
          </w:p>
        </w:tc>
        <w:tc>
          <w:tcPr>
            <w:tcW w:w="1504" w:type="dxa"/>
            <w:shd w:val="clear" w:color="auto" w:fill="auto"/>
            <w:tcMar>
              <w:top w:w="100" w:type="dxa"/>
              <w:left w:w="100" w:type="dxa"/>
              <w:bottom w:w="100" w:type="dxa"/>
              <w:right w:w="100" w:type="dxa"/>
            </w:tcMar>
          </w:tcPr>
          <w:p w14:paraId="606D8F1A" w14:textId="77777777" w:rsidR="002B1F19" w:rsidRDefault="00F80E55">
            <w:pPr>
              <w:widowControl w:val="0"/>
              <w:pBdr>
                <w:top w:val="nil"/>
                <w:left w:val="nil"/>
                <w:bottom w:val="nil"/>
                <w:right w:val="nil"/>
                <w:between w:val="nil"/>
              </w:pBdr>
              <w:spacing w:line="240" w:lineRule="auto"/>
              <w:rPr>
                <w:rFonts w:ascii="Garamond" w:eastAsia="Garamond" w:hAnsi="Garamond" w:cs="Garamond"/>
                <w:sz w:val="20"/>
                <w:szCs w:val="20"/>
              </w:rPr>
            </w:pPr>
            <w:r>
              <w:rPr>
                <w:rFonts w:ascii="Garamond" w:eastAsia="Garamond" w:hAnsi="Garamond" w:cs="Garamond"/>
                <w:sz w:val="20"/>
                <w:szCs w:val="20"/>
              </w:rPr>
              <w:t>5</w:t>
            </w:r>
          </w:p>
        </w:tc>
        <w:tc>
          <w:tcPr>
            <w:tcW w:w="1504" w:type="dxa"/>
            <w:shd w:val="clear" w:color="auto" w:fill="auto"/>
            <w:tcMar>
              <w:top w:w="100" w:type="dxa"/>
              <w:left w:w="100" w:type="dxa"/>
              <w:bottom w:w="100" w:type="dxa"/>
              <w:right w:w="100" w:type="dxa"/>
            </w:tcMar>
          </w:tcPr>
          <w:p w14:paraId="6617B282" w14:textId="77777777" w:rsidR="002B1F19" w:rsidRDefault="00F80E55">
            <w:pPr>
              <w:widowControl w:val="0"/>
              <w:pBdr>
                <w:top w:val="nil"/>
                <w:left w:val="nil"/>
                <w:bottom w:val="nil"/>
                <w:right w:val="nil"/>
                <w:between w:val="nil"/>
              </w:pBdr>
              <w:spacing w:line="240" w:lineRule="auto"/>
              <w:rPr>
                <w:rFonts w:ascii="Garamond" w:eastAsia="Garamond" w:hAnsi="Garamond" w:cs="Garamond"/>
                <w:sz w:val="20"/>
                <w:szCs w:val="20"/>
              </w:rPr>
            </w:pPr>
            <w:r>
              <w:rPr>
                <w:rFonts w:ascii="Garamond" w:eastAsia="Garamond" w:hAnsi="Garamond" w:cs="Garamond"/>
                <w:sz w:val="20"/>
                <w:szCs w:val="20"/>
              </w:rPr>
              <w:t>2</w:t>
            </w:r>
          </w:p>
        </w:tc>
        <w:tc>
          <w:tcPr>
            <w:tcW w:w="1504" w:type="dxa"/>
            <w:shd w:val="clear" w:color="auto" w:fill="auto"/>
            <w:tcMar>
              <w:top w:w="100" w:type="dxa"/>
              <w:left w:w="100" w:type="dxa"/>
              <w:bottom w:w="100" w:type="dxa"/>
              <w:right w:w="100" w:type="dxa"/>
            </w:tcMar>
          </w:tcPr>
          <w:p w14:paraId="36280BCE" w14:textId="77777777" w:rsidR="002B1F19" w:rsidRDefault="00F80E55">
            <w:pPr>
              <w:widowControl w:val="0"/>
              <w:pBdr>
                <w:top w:val="nil"/>
                <w:left w:val="nil"/>
                <w:bottom w:val="nil"/>
                <w:right w:val="nil"/>
                <w:between w:val="nil"/>
              </w:pBdr>
              <w:spacing w:line="240" w:lineRule="auto"/>
              <w:rPr>
                <w:rFonts w:ascii="Garamond" w:eastAsia="Garamond" w:hAnsi="Garamond" w:cs="Garamond"/>
                <w:sz w:val="20"/>
                <w:szCs w:val="20"/>
              </w:rPr>
            </w:pPr>
            <w:r>
              <w:rPr>
                <w:rFonts w:ascii="Garamond" w:eastAsia="Garamond" w:hAnsi="Garamond" w:cs="Garamond"/>
                <w:sz w:val="20"/>
                <w:szCs w:val="20"/>
              </w:rPr>
              <w:t>7</w:t>
            </w:r>
          </w:p>
        </w:tc>
      </w:tr>
    </w:tbl>
    <w:p w14:paraId="3FFCAFA2"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 xml:space="preserve"> </w:t>
      </w:r>
    </w:p>
    <w:p w14:paraId="5BEAC167"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 xml:space="preserve">Tomando únicamente el componente de investigación, el comportamiento de la Universidad de Caldas ha sido el siguiente:  </w:t>
      </w:r>
    </w:p>
    <w:p w14:paraId="580A674E" w14:textId="77777777" w:rsidR="002B1F19" w:rsidRDefault="002B1F19">
      <w:pPr>
        <w:jc w:val="both"/>
        <w:rPr>
          <w:rFonts w:ascii="Garamond" w:eastAsia="Garamond" w:hAnsi="Garamond" w:cs="Garamond"/>
          <w:sz w:val="24"/>
          <w:szCs w:val="24"/>
        </w:rPr>
      </w:pP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2B1F19" w14:paraId="163463BF" w14:textId="77777777">
        <w:tc>
          <w:tcPr>
            <w:tcW w:w="1504" w:type="dxa"/>
            <w:shd w:val="clear" w:color="auto" w:fill="auto"/>
            <w:tcMar>
              <w:top w:w="100" w:type="dxa"/>
              <w:left w:w="100" w:type="dxa"/>
              <w:bottom w:w="100" w:type="dxa"/>
              <w:right w:w="100" w:type="dxa"/>
            </w:tcMar>
          </w:tcPr>
          <w:p w14:paraId="222A01D7" w14:textId="77777777" w:rsidR="002B1F19" w:rsidRDefault="002B1F19">
            <w:pPr>
              <w:widowControl w:val="0"/>
              <w:spacing w:line="240" w:lineRule="auto"/>
              <w:rPr>
                <w:rFonts w:ascii="Garamond" w:eastAsia="Garamond" w:hAnsi="Garamond" w:cs="Garamond"/>
                <w:sz w:val="20"/>
                <w:szCs w:val="20"/>
              </w:rPr>
            </w:pPr>
          </w:p>
        </w:tc>
        <w:tc>
          <w:tcPr>
            <w:tcW w:w="1504" w:type="dxa"/>
            <w:shd w:val="clear" w:color="auto" w:fill="auto"/>
            <w:tcMar>
              <w:top w:w="100" w:type="dxa"/>
              <w:left w:w="100" w:type="dxa"/>
              <w:bottom w:w="100" w:type="dxa"/>
              <w:right w:w="100" w:type="dxa"/>
            </w:tcMar>
          </w:tcPr>
          <w:p w14:paraId="40955B2A" w14:textId="77777777" w:rsidR="002B1F19" w:rsidRDefault="00F80E55">
            <w:pPr>
              <w:widowControl w:val="0"/>
              <w:spacing w:line="240" w:lineRule="auto"/>
              <w:rPr>
                <w:rFonts w:ascii="Garamond" w:eastAsia="Garamond" w:hAnsi="Garamond" w:cs="Garamond"/>
                <w:b/>
                <w:sz w:val="20"/>
                <w:szCs w:val="20"/>
              </w:rPr>
            </w:pPr>
            <w:r>
              <w:rPr>
                <w:rFonts w:ascii="Garamond" w:eastAsia="Garamond" w:hAnsi="Garamond" w:cs="Garamond"/>
                <w:b/>
                <w:sz w:val="20"/>
                <w:szCs w:val="20"/>
              </w:rPr>
              <w:t>2015</w:t>
            </w:r>
          </w:p>
        </w:tc>
        <w:tc>
          <w:tcPr>
            <w:tcW w:w="1504" w:type="dxa"/>
            <w:shd w:val="clear" w:color="auto" w:fill="auto"/>
            <w:tcMar>
              <w:top w:w="100" w:type="dxa"/>
              <w:left w:w="100" w:type="dxa"/>
              <w:bottom w:w="100" w:type="dxa"/>
              <w:right w:w="100" w:type="dxa"/>
            </w:tcMar>
          </w:tcPr>
          <w:p w14:paraId="3CD72DBA" w14:textId="77777777" w:rsidR="002B1F19" w:rsidRDefault="00F80E55">
            <w:pPr>
              <w:widowControl w:val="0"/>
              <w:spacing w:line="240" w:lineRule="auto"/>
              <w:rPr>
                <w:rFonts w:ascii="Garamond" w:eastAsia="Garamond" w:hAnsi="Garamond" w:cs="Garamond"/>
                <w:b/>
                <w:sz w:val="20"/>
                <w:szCs w:val="20"/>
              </w:rPr>
            </w:pPr>
            <w:r>
              <w:rPr>
                <w:rFonts w:ascii="Garamond" w:eastAsia="Garamond" w:hAnsi="Garamond" w:cs="Garamond"/>
                <w:b/>
                <w:sz w:val="20"/>
                <w:szCs w:val="20"/>
              </w:rPr>
              <w:t>2016</w:t>
            </w:r>
          </w:p>
        </w:tc>
        <w:tc>
          <w:tcPr>
            <w:tcW w:w="1504" w:type="dxa"/>
            <w:shd w:val="clear" w:color="auto" w:fill="auto"/>
            <w:tcMar>
              <w:top w:w="100" w:type="dxa"/>
              <w:left w:w="100" w:type="dxa"/>
              <w:bottom w:w="100" w:type="dxa"/>
              <w:right w:w="100" w:type="dxa"/>
            </w:tcMar>
          </w:tcPr>
          <w:p w14:paraId="26021FC0" w14:textId="77777777" w:rsidR="002B1F19" w:rsidRDefault="00F80E55">
            <w:pPr>
              <w:widowControl w:val="0"/>
              <w:spacing w:line="240" w:lineRule="auto"/>
              <w:rPr>
                <w:rFonts w:ascii="Garamond" w:eastAsia="Garamond" w:hAnsi="Garamond" w:cs="Garamond"/>
                <w:b/>
                <w:sz w:val="20"/>
                <w:szCs w:val="20"/>
              </w:rPr>
            </w:pPr>
            <w:r>
              <w:rPr>
                <w:rFonts w:ascii="Garamond" w:eastAsia="Garamond" w:hAnsi="Garamond" w:cs="Garamond"/>
                <w:b/>
                <w:sz w:val="20"/>
                <w:szCs w:val="20"/>
              </w:rPr>
              <w:t>2017</w:t>
            </w:r>
          </w:p>
        </w:tc>
        <w:tc>
          <w:tcPr>
            <w:tcW w:w="1504" w:type="dxa"/>
            <w:shd w:val="clear" w:color="auto" w:fill="auto"/>
            <w:tcMar>
              <w:top w:w="100" w:type="dxa"/>
              <w:left w:w="100" w:type="dxa"/>
              <w:bottom w:w="100" w:type="dxa"/>
              <w:right w:w="100" w:type="dxa"/>
            </w:tcMar>
          </w:tcPr>
          <w:p w14:paraId="3A88C0CC" w14:textId="77777777" w:rsidR="002B1F19" w:rsidRDefault="00F80E55">
            <w:pPr>
              <w:widowControl w:val="0"/>
              <w:spacing w:line="240" w:lineRule="auto"/>
              <w:rPr>
                <w:rFonts w:ascii="Garamond" w:eastAsia="Garamond" w:hAnsi="Garamond" w:cs="Garamond"/>
                <w:b/>
                <w:sz w:val="20"/>
                <w:szCs w:val="20"/>
              </w:rPr>
            </w:pPr>
            <w:r>
              <w:rPr>
                <w:rFonts w:ascii="Garamond" w:eastAsia="Garamond" w:hAnsi="Garamond" w:cs="Garamond"/>
                <w:b/>
                <w:sz w:val="20"/>
                <w:szCs w:val="20"/>
              </w:rPr>
              <w:t>2018</w:t>
            </w:r>
          </w:p>
        </w:tc>
        <w:tc>
          <w:tcPr>
            <w:tcW w:w="1504" w:type="dxa"/>
            <w:shd w:val="clear" w:color="auto" w:fill="auto"/>
            <w:tcMar>
              <w:top w:w="100" w:type="dxa"/>
              <w:left w:w="100" w:type="dxa"/>
              <w:bottom w:w="100" w:type="dxa"/>
              <w:right w:w="100" w:type="dxa"/>
            </w:tcMar>
          </w:tcPr>
          <w:p w14:paraId="2B5926DB" w14:textId="77777777" w:rsidR="002B1F19" w:rsidRDefault="00F80E55">
            <w:pPr>
              <w:widowControl w:val="0"/>
              <w:spacing w:line="240" w:lineRule="auto"/>
              <w:rPr>
                <w:rFonts w:ascii="Garamond" w:eastAsia="Garamond" w:hAnsi="Garamond" w:cs="Garamond"/>
                <w:b/>
                <w:sz w:val="20"/>
                <w:szCs w:val="20"/>
              </w:rPr>
            </w:pPr>
            <w:r>
              <w:rPr>
                <w:rFonts w:ascii="Garamond" w:eastAsia="Garamond" w:hAnsi="Garamond" w:cs="Garamond"/>
                <w:b/>
                <w:sz w:val="20"/>
                <w:szCs w:val="20"/>
              </w:rPr>
              <w:t>2019</w:t>
            </w:r>
          </w:p>
        </w:tc>
      </w:tr>
      <w:tr w:rsidR="002B1F19" w14:paraId="2A0265FF" w14:textId="77777777">
        <w:tc>
          <w:tcPr>
            <w:tcW w:w="1504" w:type="dxa"/>
            <w:shd w:val="clear" w:color="auto" w:fill="auto"/>
            <w:tcMar>
              <w:top w:w="100" w:type="dxa"/>
              <w:left w:w="100" w:type="dxa"/>
              <w:bottom w:w="100" w:type="dxa"/>
              <w:right w:w="100" w:type="dxa"/>
            </w:tcMar>
          </w:tcPr>
          <w:p w14:paraId="72E35519" w14:textId="77777777" w:rsidR="002B1F19" w:rsidRDefault="00F80E55">
            <w:pPr>
              <w:widowControl w:val="0"/>
              <w:spacing w:line="240" w:lineRule="auto"/>
              <w:rPr>
                <w:rFonts w:ascii="Garamond" w:eastAsia="Garamond" w:hAnsi="Garamond" w:cs="Garamond"/>
                <w:i/>
                <w:sz w:val="20"/>
                <w:szCs w:val="20"/>
              </w:rPr>
            </w:pPr>
            <w:r>
              <w:rPr>
                <w:rFonts w:ascii="Garamond" w:eastAsia="Garamond" w:hAnsi="Garamond" w:cs="Garamond"/>
                <w:i/>
                <w:sz w:val="20"/>
                <w:szCs w:val="20"/>
              </w:rPr>
              <w:t>Posición en Latinoamérica</w:t>
            </w:r>
          </w:p>
        </w:tc>
        <w:tc>
          <w:tcPr>
            <w:tcW w:w="1504" w:type="dxa"/>
            <w:shd w:val="clear" w:color="auto" w:fill="auto"/>
            <w:tcMar>
              <w:top w:w="100" w:type="dxa"/>
              <w:left w:w="100" w:type="dxa"/>
              <w:bottom w:w="100" w:type="dxa"/>
              <w:right w:w="100" w:type="dxa"/>
            </w:tcMar>
          </w:tcPr>
          <w:p w14:paraId="1644A190" w14:textId="77777777" w:rsidR="002B1F19" w:rsidRDefault="00F80E55">
            <w:pPr>
              <w:widowControl w:val="0"/>
              <w:spacing w:line="240" w:lineRule="auto"/>
              <w:rPr>
                <w:rFonts w:ascii="Garamond" w:eastAsia="Garamond" w:hAnsi="Garamond" w:cs="Garamond"/>
                <w:sz w:val="20"/>
                <w:szCs w:val="20"/>
              </w:rPr>
            </w:pPr>
            <w:r>
              <w:rPr>
                <w:rFonts w:ascii="Garamond" w:eastAsia="Garamond" w:hAnsi="Garamond" w:cs="Garamond"/>
                <w:sz w:val="20"/>
                <w:szCs w:val="20"/>
              </w:rPr>
              <w:t>95</w:t>
            </w:r>
          </w:p>
        </w:tc>
        <w:tc>
          <w:tcPr>
            <w:tcW w:w="1504" w:type="dxa"/>
            <w:shd w:val="clear" w:color="auto" w:fill="auto"/>
            <w:tcMar>
              <w:top w:w="100" w:type="dxa"/>
              <w:left w:w="100" w:type="dxa"/>
              <w:bottom w:w="100" w:type="dxa"/>
              <w:right w:w="100" w:type="dxa"/>
            </w:tcMar>
          </w:tcPr>
          <w:p w14:paraId="61F6BFFE" w14:textId="77777777" w:rsidR="002B1F19" w:rsidRDefault="00F80E55">
            <w:pPr>
              <w:widowControl w:val="0"/>
              <w:spacing w:line="240" w:lineRule="auto"/>
              <w:rPr>
                <w:rFonts w:ascii="Garamond" w:eastAsia="Garamond" w:hAnsi="Garamond" w:cs="Garamond"/>
                <w:sz w:val="20"/>
                <w:szCs w:val="20"/>
              </w:rPr>
            </w:pPr>
            <w:r>
              <w:rPr>
                <w:rFonts w:ascii="Garamond" w:eastAsia="Garamond" w:hAnsi="Garamond" w:cs="Garamond"/>
                <w:sz w:val="20"/>
                <w:szCs w:val="20"/>
              </w:rPr>
              <w:t>97</w:t>
            </w:r>
          </w:p>
        </w:tc>
        <w:tc>
          <w:tcPr>
            <w:tcW w:w="1504" w:type="dxa"/>
            <w:shd w:val="clear" w:color="auto" w:fill="auto"/>
            <w:tcMar>
              <w:top w:w="100" w:type="dxa"/>
              <w:left w:w="100" w:type="dxa"/>
              <w:bottom w:w="100" w:type="dxa"/>
              <w:right w:w="100" w:type="dxa"/>
            </w:tcMar>
          </w:tcPr>
          <w:p w14:paraId="52305355" w14:textId="77777777" w:rsidR="002B1F19" w:rsidRDefault="00F80E55">
            <w:pPr>
              <w:widowControl w:val="0"/>
              <w:spacing w:line="240" w:lineRule="auto"/>
              <w:rPr>
                <w:rFonts w:ascii="Garamond" w:eastAsia="Garamond" w:hAnsi="Garamond" w:cs="Garamond"/>
                <w:sz w:val="20"/>
                <w:szCs w:val="20"/>
              </w:rPr>
            </w:pPr>
            <w:r>
              <w:rPr>
                <w:rFonts w:ascii="Garamond" w:eastAsia="Garamond" w:hAnsi="Garamond" w:cs="Garamond"/>
                <w:sz w:val="20"/>
                <w:szCs w:val="20"/>
              </w:rPr>
              <w:t>97</w:t>
            </w:r>
          </w:p>
        </w:tc>
        <w:tc>
          <w:tcPr>
            <w:tcW w:w="1504" w:type="dxa"/>
            <w:shd w:val="clear" w:color="auto" w:fill="auto"/>
            <w:tcMar>
              <w:top w:w="100" w:type="dxa"/>
              <w:left w:w="100" w:type="dxa"/>
              <w:bottom w:w="100" w:type="dxa"/>
              <w:right w:w="100" w:type="dxa"/>
            </w:tcMar>
          </w:tcPr>
          <w:p w14:paraId="22F9B87A" w14:textId="77777777" w:rsidR="002B1F19" w:rsidRDefault="00F80E55">
            <w:pPr>
              <w:widowControl w:val="0"/>
              <w:spacing w:line="240" w:lineRule="auto"/>
              <w:rPr>
                <w:rFonts w:ascii="Garamond" w:eastAsia="Garamond" w:hAnsi="Garamond" w:cs="Garamond"/>
                <w:sz w:val="20"/>
                <w:szCs w:val="20"/>
              </w:rPr>
            </w:pPr>
            <w:r>
              <w:rPr>
                <w:rFonts w:ascii="Garamond" w:eastAsia="Garamond" w:hAnsi="Garamond" w:cs="Garamond"/>
                <w:sz w:val="20"/>
                <w:szCs w:val="20"/>
              </w:rPr>
              <w:t>91</w:t>
            </w:r>
          </w:p>
        </w:tc>
        <w:tc>
          <w:tcPr>
            <w:tcW w:w="1504" w:type="dxa"/>
            <w:shd w:val="clear" w:color="auto" w:fill="auto"/>
            <w:tcMar>
              <w:top w:w="100" w:type="dxa"/>
              <w:left w:w="100" w:type="dxa"/>
              <w:bottom w:w="100" w:type="dxa"/>
              <w:right w:w="100" w:type="dxa"/>
            </w:tcMar>
          </w:tcPr>
          <w:p w14:paraId="6126D691" w14:textId="77777777" w:rsidR="002B1F19" w:rsidRDefault="00F80E55">
            <w:pPr>
              <w:widowControl w:val="0"/>
              <w:spacing w:line="240" w:lineRule="auto"/>
              <w:rPr>
                <w:rFonts w:ascii="Garamond" w:eastAsia="Garamond" w:hAnsi="Garamond" w:cs="Garamond"/>
                <w:sz w:val="20"/>
                <w:szCs w:val="20"/>
              </w:rPr>
            </w:pPr>
            <w:r>
              <w:rPr>
                <w:rFonts w:ascii="Garamond" w:eastAsia="Garamond" w:hAnsi="Garamond" w:cs="Garamond"/>
                <w:sz w:val="20"/>
                <w:szCs w:val="20"/>
              </w:rPr>
              <w:t>48</w:t>
            </w:r>
          </w:p>
        </w:tc>
      </w:tr>
      <w:tr w:rsidR="002B1F19" w14:paraId="25834E3E" w14:textId="77777777">
        <w:tc>
          <w:tcPr>
            <w:tcW w:w="1504" w:type="dxa"/>
            <w:shd w:val="clear" w:color="auto" w:fill="auto"/>
            <w:tcMar>
              <w:top w:w="100" w:type="dxa"/>
              <w:left w:w="100" w:type="dxa"/>
              <w:bottom w:w="100" w:type="dxa"/>
              <w:right w:w="100" w:type="dxa"/>
            </w:tcMar>
          </w:tcPr>
          <w:p w14:paraId="390FC200" w14:textId="77777777" w:rsidR="002B1F19" w:rsidRDefault="00F80E55">
            <w:pPr>
              <w:widowControl w:val="0"/>
              <w:spacing w:line="240" w:lineRule="auto"/>
              <w:rPr>
                <w:rFonts w:ascii="Garamond" w:eastAsia="Garamond" w:hAnsi="Garamond" w:cs="Garamond"/>
                <w:i/>
                <w:sz w:val="20"/>
                <w:szCs w:val="20"/>
              </w:rPr>
            </w:pPr>
            <w:r>
              <w:rPr>
                <w:rFonts w:ascii="Garamond" w:eastAsia="Garamond" w:hAnsi="Garamond" w:cs="Garamond"/>
                <w:i/>
                <w:sz w:val="20"/>
                <w:szCs w:val="20"/>
              </w:rPr>
              <w:t>Número de instituciones en el ranking</w:t>
            </w:r>
          </w:p>
        </w:tc>
        <w:tc>
          <w:tcPr>
            <w:tcW w:w="1504" w:type="dxa"/>
            <w:shd w:val="clear" w:color="auto" w:fill="auto"/>
            <w:tcMar>
              <w:top w:w="100" w:type="dxa"/>
              <w:left w:w="100" w:type="dxa"/>
              <w:bottom w:w="100" w:type="dxa"/>
              <w:right w:w="100" w:type="dxa"/>
            </w:tcMar>
          </w:tcPr>
          <w:p w14:paraId="2C925617" w14:textId="77777777" w:rsidR="002B1F19" w:rsidRDefault="00F80E55">
            <w:pPr>
              <w:widowControl w:val="0"/>
              <w:spacing w:line="240" w:lineRule="auto"/>
              <w:rPr>
                <w:rFonts w:ascii="Garamond" w:eastAsia="Garamond" w:hAnsi="Garamond" w:cs="Garamond"/>
                <w:sz w:val="20"/>
                <w:szCs w:val="20"/>
              </w:rPr>
            </w:pPr>
            <w:r>
              <w:rPr>
                <w:rFonts w:ascii="Garamond" w:eastAsia="Garamond" w:hAnsi="Garamond" w:cs="Garamond"/>
                <w:sz w:val="20"/>
                <w:szCs w:val="20"/>
              </w:rPr>
              <w:t>286</w:t>
            </w:r>
          </w:p>
        </w:tc>
        <w:tc>
          <w:tcPr>
            <w:tcW w:w="1504" w:type="dxa"/>
            <w:shd w:val="clear" w:color="auto" w:fill="auto"/>
            <w:tcMar>
              <w:top w:w="100" w:type="dxa"/>
              <w:left w:w="100" w:type="dxa"/>
              <w:bottom w:w="100" w:type="dxa"/>
              <w:right w:w="100" w:type="dxa"/>
            </w:tcMar>
          </w:tcPr>
          <w:p w14:paraId="04FD6CE7" w14:textId="77777777" w:rsidR="002B1F19" w:rsidRDefault="00F80E55">
            <w:pPr>
              <w:widowControl w:val="0"/>
              <w:spacing w:line="240" w:lineRule="auto"/>
              <w:rPr>
                <w:rFonts w:ascii="Garamond" w:eastAsia="Garamond" w:hAnsi="Garamond" w:cs="Garamond"/>
                <w:sz w:val="20"/>
                <w:szCs w:val="20"/>
              </w:rPr>
            </w:pPr>
            <w:r>
              <w:rPr>
                <w:rFonts w:ascii="Garamond" w:eastAsia="Garamond" w:hAnsi="Garamond" w:cs="Garamond"/>
                <w:sz w:val="20"/>
                <w:szCs w:val="20"/>
              </w:rPr>
              <w:t>291</w:t>
            </w:r>
          </w:p>
        </w:tc>
        <w:tc>
          <w:tcPr>
            <w:tcW w:w="1504" w:type="dxa"/>
            <w:shd w:val="clear" w:color="auto" w:fill="auto"/>
            <w:tcMar>
              <w:top w:w="100" w:type="dxa"/>
              <w:left w:w="100" w:type="dxa"/>
              <w:bottom w:w="100" w:type="dxa"/>
              <w:right w:w="100" w:type="dxa"/>
            </w:tcMar>
          </w:tcPr>
          <w:p w14:paraId="09478468" w14:textId="77777777" w:rsidR="002B1F19" w:rsidRDefault="00F80E55">
            <w:pPr>
              <w:widowControl w:val="0"/>
              <w:spacing w:line="240" w:lineRule="auto"/>
              <w:rPr>
                <w:rFonts w:ascii="Garamond" w:eastAsia="Garamond" w:hAnsi="Garamond" w:cs="Garamond"/>
                <w:sz w:val="20"/>
                <w:szCs w:val="20"/>
              </w:rPr>
            </w:pPr>
            <w:r>
              <w:rPr>
                <w:rFonts w:ascii="Garamond" w:eastAsia="Garamond" w:hAnsi="Garamond" w:cs="Garamond"/>
                <w:sz w:val="20"/>
                <w:szCs w:val="20"/>
              </w:rPr>
              <w:t>312</w:t>
            </w:r>
          </w:p>
        </w:tc>
        <w:tc>
          <w:tcPr>
            <w:tcW w:w="1504" w:type="dxa"/>
            <w:shd w:val="clear" w:color="auto" w:fill="auto"/>
            <w:tcMar>
              <w:top w:w="100" w:type="dxa"/>
              <w:left w:w="100" w:type="dxa"/>
              <w:bottom w:w="100" w:type="dxa"/>
              <w:right w:w="100" w:type="dxa"/>
            </w:tcMar>
          </w:tcPr>
          <w:p w14:paraId="17AF3CE3" w14:textId="77777777" w:rsidR="002B1F19" w:rsidRDefault="00F80E55">
            <w:pPr>
              <w:widowControl w:val="0"/>
              <w:spacing w:line="240" w:lineRule="auto"/>
              <w:rPr>
                <w:rFonts w:ascii="Garamond" w:eastAsia="Garamond" w:hAnsi="Garamond" w:cs="Garamond"/>
                <w:sz w:val="20"/>
                <w:szCs w:val="20"/>
              </w:rPr>
            </w:pPr>
            <w:r>
              <w:rPr>
                <w:rFonts w:ascii="Garamond" w:eastAsia="Garamond" w:hAnsi="Garamond" w:cs="Garamond"/>
                <w:sz w:val="20"/>
                <w:szCs w:val="20"/>
              </w:rPr>
              <w:t>355</w:t>
            </w:r>
          </w:p>
        </w:tc>
        <w:tc>
          <w:tcPr>
            <w:tcW w:w="1504" w:type="dxa"/>
            <w:shd w:val="clear" w:color="auto" w:fill="auto"/>
            <w:tcMar>
              <w:top w:w="100" w:type="dxa"/>
              <w:left w:w="100" w:type="dxa"/>
              <w:bottom w:w="100" w:type="dxa"/>
              <w:right w:w="100" w:type="dxa"/>
            </w:tcMar>
          </w:tcPr>
          <w:p w14:paraId="38BF7F4C" w14:textId="77777777" w:rsidR="002B1F19" w:rsidRDefault="00F80E55">
            <w:pPr>
              <w:widowControl w:val="0"/>
              <w:spacing w:line="240" w:lineRule="auto"/>
              <w:rPr>
                <w:rFonts w:ascii="Garamond" w:eastAsia="Garamond" w:hAnsi="Garamond" w:cs="Garamond"/>
                <w:sz w:val="20"/>
                <w:szCs w:val="20"/>
              </w:rPr>
            </w:pPr>
            <w:r>
              <w:rPr>
                <w:rFonts w:ascii="Garamond" w:eastAsia="Garamond" w:hAnsi="Garamond" w:cs="Garamond"/>
                <w:sz w:val="20"/>
                <w:szCs w:val="20"/>
              </w:rPr>
              <w:t>400</w:t>
            </w:r>
          </w:p>
        </w:tc>
      </w:tr>
      <w:tr w:rsidR="002B1F19" w14:paraId="5D196F86" w14:textId="77777777">
        <w:tc>
          <w:tcPr>
            <w:tcW w:w="1504" w:type="dxa"/>
            <w:shd w:val="clear" w:color="auto" w:fill="auto"/>
            <w:tcMar>
              <w:top w:w="100" w:type="dxa"/>
              <w:left w:w="100" w:type="dxa"/>
              <w:bottom w:w="100" w:type="dxa"/>
              <w:right w:w="100" w:type="dxa"/>
            </w:tcMar>
          </w:tcPr>
          <w:p w14:paraId="395D6CE0" w14:textId="77777777" w:rsidR="002B1F19" w:rsidRDefault="00F80E55">
            <w:pPr>
              <w:widowControl w:val="0"/>
              <w:spacing w:line="240" w:lineRule="auto"/>
              <w:rPr>
                <w:rFonts w:ascii="Garamond" w:eastAsia="Garamond" w:hAnsi="Garamond" w:cs="Garamond"/>
                <w:i/>
                <w:sz w:val="20"/>
                <w:szCs w:val="20"/>
              </w:rPr>
            </w:pPr>
            <w:r>
              <w:rPr>
                <w:rFonts w:ascii="Garamond" w:eastAsia="Garamond" w:hAnsi="Garamond" w:cs="Garamond"/>
                <w:i/>
                <w:sz w:val="20"/>
                <w:szCs w:val="20"/>
              </w:rPr>
              <w:lastRenderedPageBreak/>
              <w:t>Número de instituciones en la misma posición</w:t>
            </w:r>
          </w:p>
        </w:tc>
        <w:tc>
          <w:tcPr>
            <w:tcW w:w="1504" w:type="dxa"/>
            <w:shd w:val="clear" w:color="auto" w:fill="auto"/>
            <w:tcMar>
              <w:top w:w="100" w:type="dxa"/>
              <w:left w:w="100" w:type="dxa"/>
              <w:bottom w:w="100" w:type="dxa"/>
              <w:right w:w="100" w:type="dxa"/>
            </w:tcMar>
          </w:tcPr>
          <w:p w14:paraId="5026AABC" w14:textId="77777777" w:rsidR="002B1F19" w:rsidRDefault="00F80E55">
            <w:pPr>
              <w:widowControl w:val="0"/>
              <w:spacing w:line="240" w:lineRule="auto"/>
              <w:rPr>
                <w:rFonts w:ascii="Garamond" w:eastAsia="Garamond" w:hAnsi="Garamond" w:cs="Garamond"/>
                <w:sz w:val="20"/>
                <w:szCs w:val="20"/>
              </w:rPr>
            </w:pPr>
            <w:r>
              <w:rPr>
                <w:rFonts w:ascii="Garamond" w:eastAsia="Garamond" w:hAnsi="Garamond" w:cs="Garamond"/>
                <w:sz w:val="20"/>
                <w:szCs w:val="20"/>
              </w:rPr>
              <w:t>5</w:t>
            </w:r>
          </w:p>
        </w:tc>
        <w:tc>
          <w:tcPr>
            <w:tcW w:w="1504" w:type="dxa"/>
            <w:shd w:val="clear" w:color="auto" w:fill="auto"/>
            <w:tcMar>
              <w:top w:w="100" w:type="dxa"/>
              <w:left w:w="100" w:type="dxa"/>
              <w:bottom w:w="100" w:type="dxa"/>
              <w:right w:w="100" w:type="dxa"/>
            </w:tcMar>
          </w:tcPr>
          <w:p w14:paraId="7670D492" w14:textId="77777777" w:rsidR="002B1F19" w:rsidRDefault="00F80E55">
            <w:pPr>
              <w:widowControl w:val="0"/>
              <w:spacing w:line="240" w:lineRule="auto"/>
              <w:rPr>
                <w:rFonts w:ascii="Garamond" w:eastAsia="Garamond" w:hAnsi="Garamond" w:cs="Garamond"/>
                <w:sz w:val="20"/>
                <w:szCs w:val="20"/>
              </w:rPr>
            </w:pPr>
            <w:r>
              <w:rPr>
                <w:rFonts w:ascii="Garamond" w:eastAsia="Garamond" w:hAnsi="Garamond" w:cs="Garamond"/>
                <w:sz w:val="20"/>
                <w:szCs w:val="20"/>
              </w:rPr>
              <w:t>3</w:t>
            </w:r>
          </w:p>
        </w:tc>
        <w:tc>
          <w:tcPr>
            <w:tcW w:w="1504" w:type="dxa"/>
            <w:shd w:val="clear" w:color="auto" w:fill="auto"/>
            <w:tcMar>
              <w:top w:w="100" w:type="dxa"/>
              <w:left w:w="100" w:type="dxa"/>
              <w:bottom w:w="100" w:type="dxa"/>
              <w:right w:w="100" w:type="dxa"/>
            </w:tcMar>
          </w:tcPr>
          <w:p w14:paraId="6197E2EB" w14:textId="77777777" w:rsidR="002B1F19" w:rsidRDefault="00F80E55">
            <w:pPr>
              <w:widowControl w:val="0"/>
              <w:spacing w:line="240" w:lineRule="auto"/>
              <w:rPr>
                <w:rFonts w:ascii="Garamond" w:eastAsia="Garamond" w:hAnsi="Garamond" w:cs="Garamond"/>
                <w:sz w:val="20"/>
                <w:szCs w:val="20"/>
              </w:rPr>
            </w:pPr>
            <w:r>
              <w:rPr>
                <w:rFonts w:ascii="Garamond" w:eastAsia="Garamond" w:hAnsi="Garamond" w:cs="Garamond"/>
                <w:sz w:val="20"/>
                <w:szCs w:val="20"/>
              </w:rPr>
              <w:t>1</w:t>
            </w:r>
          </w:p>
        </w:tc>
        <w:tc>
          <w:tcPr>
            <w:tcW w:w="1504" w:type="dxa"/>
            <w:shd w:val="clear" w:color="auto" w:fill="auto"/>
            <w:tcMar>
              <w:top w:w="100" w:type="dxa"/>
              <w:left w:w="100" w:type="dxa"/>
              <w:bottom w:w="100" w:type="dxa"/>
              <w:right w:w="100" w:type="dxa"/>
            </w:tcMar>
          </w:tcPr>
          <w:p w14:paraId="1AE93135" w14:textId="77777777" w:rsidR="002B1F19" w:rsidRDefault="00F80E55">
            <w:pPr>
              <w:widowControl w:val="0"/>
              <w:spacing w:line="240" w:lineRule="auto"/>
              <w:rPr>
                <w:rFonts w:ascii="Garamond" w:eastAsia="Garamond" w:hAnsi="Garamond" w:cs="Garamond"/>
                <w:sz w:val="20"/>
                <w:szCs w:val="20"/>
              </w:rPr>
            </w:pPr>
            <w:r>
              <w:rPr>
                <w:rFonts w:ascii="Garamond" w:eastAsia="Garamond" w:hAnsi="Garamond" w:cs="Garamond"/>
                <w:sz w:val="20"/>
                <w:szCs w:val="20"/>
              </w:rPr>
              <w:t>10</w:t>
            </w:r>
          </w:p>
        </w:tc>
        <w:tc>
          <w:tcPr>
            <w:tcW w:w="1504" w:type="dxa"/>
            <w:shd w:val="clear" w:color="auto" w:fill="auto"/>
            <w:tcMar>
              <w:top w:w="100" w:type="dxa"/>
              <w:left w:w="100" w:type="dxa"/>
              <w:bottom w:w="100" w:type="dxa"/>
              <w:right w:w="100" w:type="dxa"/>
            </w:tcMar>
          </w:tcPr>
          <w:p w14:paraId="7F117DF0" w14:textId="77777777" w:rsidR="002B1F19" w:rsidRDefault="00F80E55">
            <w:pPr>
              <w:widowControl w:val="0"/>
              <w:spacing w:line="240" w:lineRule="auto"/>
              <w:rPr>
                <w:rFonts w:ascii="Garamond" w:eastAsia="Garamond" w:hAnsi="Garamond" w:cs="Garamond"/>
                <w:sz w:val="20"/>
                <w:szCs w:val="20"/>
              </w:rPr>
            </w:pPr>
            <w:r>
              <w:rPr>
                <w:rFonts w:ascii="Garamond" w:eastAsia="Garamond" w:hAnsi="Garamond" w:cs="Garamond"/>
                <w:sz w:val="20"/>
                <w:szCs w:val="20"/>
              </w:rPr>
              <w:t>2</w:t>
            </w:r>
          </w:p>
        </w:tc>
      </w:tr>
    </w:tbl>
    <w:p w14:paraId="33D853F4" w14:textId="77777777" w:rsidR="002B1F19" w:rsidRDefault="002B1F19">
      <w:pPr>
        <w:jc w:val="both"/>
        <w:rPr>
          <w:rFonts w:ascii="Garamond" w:eastAsia="Garamond" w:hAnsi="Garamond" w:cs="Garamond"/>
          <w:sz w:val="24"/>
          <w:szCs w:val="24"/>
        </w:rPr>
      </w:pPr>
    </w:p>
    <w:p w14:paraId="0D197D2D"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Cabe destacar que para la clasificación del año 2019, la Universidad de Caldas ascendió 43 posiciones respecto al puesto ocupado el año anterior. Es necesario realizar un análisis periódico y sistemático del comportamiento de este ranking teniendo en cuent</w:t>
      </w:r>
      <w:r>
        <w:rPr>
          <w:rFonts w:ascii="Garamond" w:eastAsia="Garamond" w:hAnsi="Garamond" w:cs="Garamond"/>
          <w:sz w:val="24"/>
          <w:szCs w:val="24"/>
        </w:rPr>
        <w:t xml:space="preserve">a no solo la posición de la Universidad, sino la comparación con otras instituciones de características similares. </w:t>
      </w:r>
    </w:p>
    <w:p w14:paraId="25E3F068" w14:textId="77777777" w:rsidR="002B1F19" w:rsidRDefault="002B1F19">
      <w:pPr>
        <w:jc w:val="both"/>
        <w:rPr>
          <w:rFonts w:ascii="Garamond" w:eastAsia="Garamond" w:hAnsi="Garamond" w:cs="Garamond"/>
          <w:sz w:val="24"/>
          <w:szCs w:val="24"/>
        </w:rPr>
      </w:pPr>
    </w:p>
    <w:p w14:paraId="348A7D14" w14:textId="77777777" w:rsidR="002B1F19" w:rsidRDefault="00F80E55">
      <w:pPr>
        <w:jc w:val="both"/>
        <w:rPr>
          <w:rFonts w:ascii="Garamond" w:eastAsia="Garamond" w:hAnsi="Garamond" w:cs="Garamond"/>
          <w:b/>
          <w:sz w:val="24"/>
          <w:szCs w:val="24"/>
        </w:rPr>
      </w:pPr>
      <w:r>
        <w:rPr>
          <w:rFonts w:ascii="Garamond" w:eastAsia="Garamond" w:hAnsi="Garamond" w:cs="Garamond"/>
          <w:b/>
          <w:sz w:val="24"/>
          <w:szCs w:val="24"/>
        </w:rPr>
        <w:t>Ranking U-Sapiens</w:t>
      </w:r>
    </w:p>
    <w:p w14:paraId="3FED440E" w14:textId="77777777" w:rsidR="002B1F19" w:rsidRDefault="002B1F19">
      <w:pPr>
        <w:jc w:val="both"/>
        <w:rPr>
          <w:rFonts w:ascii="Garamond" w:eastAsia="Garamond" w:hAnsi="Garamond" w:cs="Garamond"/>
          <w:i/>
          <w:sz w:val="24"/>
          <w:szCs w:val="24"/>
        </w:rPr>
      </w:pPr>
    </w:p>
    <w:p w14:paraId="0C58941F"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 xml:space="preserve">El </w:t>
      </w:r>
      <w:r>
        <w:rPr>
          <w:rFonts w:ascii="Garamond" w:eastAsia="Garamond" w:hAnsi="Garamond" w:cs="Garamond"/>
          <w:i/>
          <w:sz w:val="24"/>
          <w:szCs w:val="24"/>
        </w:rPr>
        <w:t xml:space="preserve">Ranking U-Sapiens </w:t>
      </w:r>
      <w:r>
        <w:rPr>
          <w:rFonts w:ascii="Garamond" w:eastAsia="Garamond" w:hAnsi="Garamond" w:cs="Garamond"/>
          <w:sz w:val="24"/>
          <w:szCs w:val="24"/>
        </w:rPr>
        <w:t>propone una medición de la madurez de la investigación de las Instituciones de Educación Superior (IES), basándose en tres variables: número de revistas indexadas en las categorías A1, A, B y C, número de posgrados y número de grupos de investigación en la</w:t>
      </w:r>
      <w:r>
        <w:rPr>
          <w:rFonts w:ascii="Garamond" w:eastAsia="Garamond" w:hAnsi="Garamond" w:cs="Garamond"/>
          <w:sz w:val="24"/>
          <w:szCs w:val="24"/>
        </w:rPr>
        <w:t xml:space="preserve">s categorías A1, A, B y C. </w:t>
      </w:r>
    </w:p>
    <w:p w14:paraId="3D37243B" w14:textId="77777777" w:rsidR="002B1F19" w:rsidRDefault="002B1F19">
      <w:pPr>
        <w:jc w:val="both"/>
        <w:rPr>
          <w:rFonts w:ascii="Garamond" w:eastAsia="Garamond" w:hAnsi="Garamond" w:cs="Garamond"/>
          <w:sz w:val="24"/>
          <w:szCs w:val="24"/>
        </w:rPr>
      </w:pPr>
    </w:p>
    <w:p w14:paraId="0775C367" w14:textId="77777777" w:rsidR="002B1F19" w:rsidRDefault="00F80E55">
      <w:pPr>
        <w:jc w:val="both"/>
        <w:rPr>
          <w:rFonts w:ascii="Garamond" w:eastAsia="Garamond" w:hAnsi="Garamond" w:cs="Garamond"/>
          <w:sz w:val="24"/>
          <w:szCs w:val="24"/>
        </w:rPr>
      </w:pPr>
      <w:r>
        <w:rPr>
          <w:rFonts w:ascii="Garamond" w:eastAsia="Garamond" w:hAnsi="Garamond" w:cs="Garamond"/>
          <w:noProof/>
          <w:sz w:val="24"/>
          <w:szCs w:val="24"/>
        </w:rPr>
        <w:drawing>
          <wp:inline distT="114300" distB="114300" distL="114300" distR="114300" wp14:anchorId="06F97583" wp14:editId="2B1DCA14">
            <wp:extent cx="5734050" cy="281305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b="12881"/>
                    <a:stretch>
                      <a:fillRect/>
                    </a:stretch>
                  </pic:blipFill>
                  <pic:spPr>
                    <a:xfrm>
                      <a:off x="0" y="0"/>
                      <a:ext cx="5734050" cy="2813050"/>
                    </a:xfrm>
                    <a:prstGeom prst="rect">
                      <a:avLst/>
                    </a:prstGeom>
                    <a:ln/>
                  </pic:spPr>
                </pic:pic>
              </a:graphicData>
            </a:graphic>
          </wp:inline>
        </w:drawing>
      </w:r>
    </w:p>
    <w:p w14:paraId="4BD60356" w14:textId="77777777" w:rsidR="002B1F19" w:rsidRDefault="002B1F19">
      <w:pPr>
        <w:jc w:val="both"/>
        <w:rPr>
          <w:rFonts w:ascii="Garamond" w:eastAsia="Garamond" w:hAnsi="Garamond" w:cs="Garamond"/>
          <w:sz w:val="24"/>
          <w:szCs w:val="24"/>
        </w:rPr>
      </w:pPr>
    </w:p>
    <w:p w14:paraId="6C4AC791"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 xml:space="preserve">Además de este ranking tradicional, para el año 2019, </w:t>
      </w:r>
      <w:r>
        <w:rPr>
          <w:rFonts w:ascii="Garamond" w:eastAsia="Garamond" w:hAnsi="Garamond" w:cs="Garamond"/>
          <w:i/>
          <w:sz w:val="24"/>
          <w:szCs w:val="24"/>
        </w:rPr>
        <w:t xml:space="preserve">Sapiens Research </w:t>
      </w:r>
      <w:r>
        <w:rPr>
          <w:rFonts w:ascii="Garamond" w:eastAsia="Garamond" w:hAnsi="Garamond" w:cs="Garamond"/>
          <w:sz w:val="24"/>
          <w:szCs w:val="24"/>
        </w:rPr>
        <w:t xml:space="preserve">propuso una medición de indicadores de nuevo conocimiento, según las siguientes variables: </w:t>
      </w:r>
    </w:p>
    <w:p w14:paraId="0BD6F0E7" w14:textId="77777777" w:rsidR="002B1F19" w:rsidRDefault="002B1F19">
      <w:pPr>
        <w:jc w:val="both"/>
        <w:rPr>
          <w:rFonts w:ascii="Garamond" w:eastAsia="Garamond" w:hAnsi="Garamond" w:cs="Garamond"/>
          <w:sz w:val="24"/>
          <w:szCs w:val="24"/>
        </w:rPr>
      </w:pPr>
    </w:p>
    <w:p w14:paraId="4FE47EB2" w14:textId="77777777" w:rsidR="002B1F19" w:rsidRDefault="00F80E55">
      <w:pPr>
        <w:numPr>
          <w:ilvl w:val="0"/>
          <w:numId w:val="7"/>
        </w:numPr>
        <w:jc w:val="both"/>
        <w:rPr>
          <w:rFonts w:ascii="Garamond" w:eastAsia="Garamond" w:hAnsi="Garamond" w:cs="Garamond"/>
          <w:sz w:val="24"/>
          <w:szCs w:val="24"/>
        </w:rPr>
      </w:pPr>
      <w:r>
        <w:rPr>
          <w:rFonts w:ascii="Garamond" w:eastAsia="Garamond" w:hAnsi="Garamond" w:cs="Garamond"/>
          <w:sz w:val="24"/>
          <w:szCs w:val="24"/>
        </w:rPr>
        <w:t>Libro resultado de investigación (LIB).</w:t>
      </w:r>
    </w:p>
    <w:p w14:paraId="0BDD5606" w14:textId="77777777" w:rsidR="002B1F19" w:rsidRDefault="00F80E55">
      <w:pPr>
        <w:numPr>
          <w:ilvl w:val="0"/>
          <w:numId w:val="7"/>
        </w:numPr>
        <w:jc w:val="both"/>
        <w:rPr>
          <w:rFonts w:ascii="Garamond" w:eastAsia="Garamond" w:hAnsi="Garamond" w:cs="Garamond"/>
          <w:sz w:val="24"/>
          <w:szCs w:val="24"/>
        </w:rPr>
      </w:pPr>
      <w:r>
        <w:rPr>
          <w:rFonts w:ascii="Garamond" w:eastAsia="Garamond" w:hAnsi="Garamond" w:cs="Garamond"/>
          <w:sz w:val="24"/>
          <w:szCs w:val="24"/>
        </w:rPr>
        <w:t>Capítulo de libro re</w:t>
      </w:r>
      <w:r>
        <w:rPr>
          <w:rFonts w:ascii="Garamond" w:eastAsia="Garamond" w:hAnsi="Garamond" w:cs="Garamond"/>
          <w:sz w:val="24"/>
          <w:szCs w:val="24"/>
        </w:rPr>
        <w:t>sultado de investigación (CAP).</w:t>
      </w:r>
    </w:p>
    <w:p w14:paraId="4539D21C" w14:textId="77777777" w:rsidR="002B1F19" w:rsidRDefault="00F80E55">
      <w:pPr>
        <w:numPr>
          <w:ilvl w:val="0"/>
          <w:numId w:val="7"/>
        </w:numPr>
        <w:jc w:val="both"/>
        <w:rPr>
          <w:rFonts w:ascii="Garamond" w:eastAsia="Garamond" w:hAnsi="Garamond" w:cs="Garamond"/>
          <w:sz w:val="24"/>
          <w:szCs w:val="24"/>
        </w:rPr>
      </w:pPr>
      <w:r>
        <w:rPr>
          <w:rFonts w:ascii="Garamond" w:eastAsia="Garamond" w:hAnsi="Garamond" w:cs="Garamond"/>
          <w:sz w:val="24"/>
          <w:szCs w:val="24"/>
        </w:rPr>
        <w:t>Productos tecnológicos patentados o en proceso de solicitud de patente (PAT).</w:t>
      </w:r>
    </w:p>
    <w:p w14:paraId="563E6346" w14:textId="77777777" w:rsidR="002B1F19" w:rsidRDefault="00F80E55">
      <w:pPr>
        <w:numPr>
          <w:ilvl w:val="0"/>
          <w:numId w:val="7"/>
        </w:numPr>
        <w:jc w:val="both"/>
        <w:rPr>
          <w:rFonts w:ascii="Garamond" w:eastAsia="Garamond" w:hAnsi="Garamond" w:cs="Garamond"/>
          <w:sz w:val="24"/>
          <w:szCs w:val="24"/>
        </w:rPr>
      </w:pPr>
      <w:r>
        <w:rPr>
          <w:rFonts w:ascii="Garamond" w:eastAsia="Garamond" w:hAnsi="Garamond" w:cs="Garamond"/>
          <w:sz w:val="24"/>
          <w:szCs w:val="24"/>
        </w:rPr>
        <w:t>Variedad vegetal y nueva raza animal (VVR).</w:t>
      </w:r>
    </w:p>
    <w:p w14:paraId="32734BDF" w14:textId="77777777" w:rsidR="002B1F19" w:rsidRDefault="002B1F19">
      <w:pPr>
        <w:jc w:val="both"/>
        <w:rPr>
          <w:rFonts w:ascii="Garamond" w:eastAsia="Garamond" w:hAnsi="Garamond" w:cs="Garamond"/>
          <w:sz w:val="24"/>
          <w:szCs w:val="24"/>
        </w:rPr>
      </w:pPr>
    </w:p>
    <w:p w14:paraId="0C3282E1"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 xml:space="preserve">Según esta clasificación, la Universidad de Caldas se encuentra en el puesto 68 de 100 instituciones </w:t>
      </w:r>
      <w:r>
        <w:rPr>
          <w:rFonts w:ascii="Garamond" w:eastAsia="Garamond" w:hAnsi="Garamond" w:cs="Garamond"/>
          <w:sz w:val="24"/>
          <w:szCs w:val="24"/>
        </w:rPr>
        <w:t>clasificadas en el ranking y no registra resultados significativos en ninguna de las variables evaluadas, con excepción de una mención al grupo de investigación “Alimentos y agroindustria” en la variable de patentes. Resulta importante revisar si ha habido</w:t>
      </w:r>
      <w:r>
        <w:rPr>
          <w:rFonts w:ascii="Garamond" w:eastAsia="Garamond" w:hAnsi="Garamond" w:cs="Garamond"/>
          <w:sz w:val="24"/>
          <w:szCs w:val="24"/>
        </w:rPr>
        <w:t xml:space="preserve"> algún error en la cosecha de datos, pues estos resultados parecen ir en contravía de la madurez de investigación que ha ido adquiriendo la Universidad de Caldas en los últimos años.  </w:t>
      </w:r>
    </w:p>
    <w:p w14:paraId="08D3B58D" w14:textId="77777777" w:rsidR="002B1F19" w:rsidRDefault="002B1F19">
      <w:pPr>
        <w:jc w:val="both"/>
        <w:rPr>
          <w:rFonts w:ascii="Garamond" w:eastAsia="Garamond" w:hAnsi="Garamond" w:cs="Garamond"/>
          <w:sz w:val="24"/>
          <w:szCs w:val="24"/>
        </w:rPr>
      </w:pPr>
    </w:p>
    <w:p w14:paraId="3CE8A476" w14:textId="77777777" w:rsidR="002B1F19" w:rsidRDefault="00F80E55">
      <w:pPr>
        <w:jc w:val="both"/>
        <w:rPr>
          <w:rFonts w:ascii="Garamond" w:eastAsia="Garamond" w:hAnsi="Garamond" w:cs="Garamond"/>
          <w:b/>
          <w:sz w:val="24"/>
          <w:szCs w:val="24"/>
        </w:rPr>
      </w:pPr>
      <w:r>
        <w:rPr>
          <w:rFonts w:ascii="Garamond" w:eastAsia="Garamond" w:hAnsi="Garamond" w:cs="Garamond"/>
          <w:b/>
          <w:sz w:val="24"/>
          <w:szCs w:val="24"/>
        </w:rPr>
        <w:t>Ranking de posgrados</w:t>
      </w:r>
    </w:p>
    <w:p w14:paraId="43FA0C39" w14:textId="77777777" w:rsidR="002B1F19" w:rsidRDefault="002B1F19">
      <w:pPr>
        <w:jc w:val="both"/>
        <w:rPr>
          <w:rFonts w:ascii="Garamond" w:eastAsia="Garamond" w:hAnsi="Garamond" w:cs="Garamond"/>
          <w:i/>
          <w:sz w:val="24"/>
          <w:szCs w:val="24"/>
        </w:rPr>
      </w:pPr>
    </w:p>
    <w:p w14:paraId="6AB3B9E0" w14:textId="77777777" w:rsidR="002B1F19" w:rsidRDefault="00F80E55">
      <w:pPr>
        <w:jc w:val="both"/>
        <w:rPr>
          <w:rFonts w:ascii="Garamond" w:eastAsia="Garamond" w:hAnsi="Garamond" w:cs="Garamond"/>
          <w:sz w:val="24"/>
          <w:szCs w:val="24"/>
        </w:rPr>
      </w:pPr>
      <w:r>
        <w:rPr>
          <w:rFonts w:ascii="Garamond" w:eastAsia="Garamond" w:hAnsi="Garamond" w:cs="Garamond"/>
          <w:i/>
          <w:sz w:val="24"/>
          <w:szCs w:val="24"/>
        </w:rPr>
        <w:t xml:space="preserve">Sapiens research </w:t>
      </w:r>
      <w:r>
        <w:rPr>
          <w:rFonts w:ascii="Garamond" w:eastAsia="Garamond" w:hAnsi="Garamond" w:cs="Garamond"/>
          <w:sz w:val="24"/>
          <w:szCs w:val="24"/>
        </w:rPr>
        <w:t>publica una clasificación de lo</w:t>
      </w:r>
      <w:r>
        <w:rPr>
          <w:rFonts w:ascii="Garamond" w:eastAsia="Garamond" w:hAnsi="Garamond" w:cs="Garamond"/>
          <w:sz w:val="24"/>
          <w:szCs w:val="24"/>
        </w:rPr>
        <w:t xml:space="preserve">s posgrados de la distintas IES, teniendo en cuenta los siguientes criterios: </w:t>
      </w:r>
    </w:p>
    <w:p w14:paraId="0BEEB80B" w14:textId="77777777" w:rsidR="002B1F19" w:rsidRDefault="002B1F19">
      <w:pPr>
        <w:jc w:val="both"/>
        <w:rPr>
          <w:rFonts w:ascii="Garamond" w:eastAsia="Garamond" w:hAnsi="Garamond" w:cs="Garamond"/>
          <w:sz w:val="24"/>
          <w:szCs w:val="24"/>
        </w:rPr>
      </w:pPr>
    </w:p>
    <w:p w14:paraId="60174686" w14:textId="77777777" w:rsidR="002B1F19" w:rsidRDefault="00F80E55">
      <w:pPr>
        <w:numPr>
          <w:ilvl w:val="0"/>
          <w:numId w:val="3"/>
        </w:numPr>
        <w:jc w:val="both"/>
        <w:rPr>
          <w:rFonts w:ascii="Garamond" w:eastAsia="Garamond" w:hAnsi="Garamond" w:cs="Garamond"/>
          <w:sz w:val="24"/>
          <w:szCs w:val="24"/>
        </w:rPr>
      </w:pPr>
      <w:r>
        <w:rPr>
          <w:rFonts w:ascii="Garamond" w:eastAsia="Garamond" w:hAnsi="Garamond" w:cs="Garamond"/>
          <w:sz w:val="24"/>
          <w:szCs w:val="24"/>
        </w:rPr>
        <w:t>Calificación AAA para aquellos posgrados que tengas registro calificado de alta calidad.</w:t>
      </w:r>
    </w:p>
    <w:p w14:paraId="77F97C49" w14:textId="77777777" w:rsidR="002B1F19" w:rsidRDefault="00F80E55">
      <w:pPr>
        <w:numPr>
          <w:ilvl w:val="0"/>
          <w:numId w:val="3"/>
        </w:numPr>
        <w:jc w:val="both"/>
        <w:rPr>
          <w:rFonts w:ascii="Garamond" w:eastAsia="Garamond" w:hAnsi="Garamond" w:cs="Garamond"/>
          <w:sz w:val="24"/>
          <w:szCs w:val="24"/>
        </w:rPr>
      </w:pPr>
      <w:r>
        <w:rPr>
          <w:rFonts w:ascii="Garamond" w:eastAsia="Garamond" w:hAnsi="Garamond" w:cs="Garamond"/>
          <w:sz w:val="24"/>
          <w:szCs w:val="24"/>
        </w:rPr>
        <w:t>Calificación AA para aquellos posgrados con registro calificado de los períodos 2006-2013.</w:t>
      </w:r>
    </w:p>
    <w:p w14:paraId="3921F528" w14:textId="77777777" w:rsidR="002B1F19" w:rsidRDefault="00F80E55">
      <w:pPr>
        <w:numPr>
          <w:ilvl w:val="0"/>
          <w:numId w:val="3"/>
        </w:numPr>
        <w:jc w:val="both"/>
        <w:rPr>
          <w:rFonts w:ascii="Garamond" w:eastAsia="Garamond" w:hAnsi="Garamond" w:cs="Garamond"/>
          <w:sz w:val="24"/>
          <w:szCs w:val="24"/>
        </w:rPr>
      </w:pPr>
      <w:r>
        <w:rPr>
          <w:rFonts w:ascii="Garamond" w:eastAsia="Garamond" w:hAnsi="Garamond" w:cs="Garamond"/>
          <w:sz w:val="24"/>
          <w:szCs w:val="24"/>
        </w:rPr>
        <w:t>Calificación A para aquellos posgrados con registro calificado 2014-2016</w:t>
      </w:r>
    </w:p>
    <w:p w14:paraId="66C6C417" w14:textId="77777777" w:rsidR="002B1F19" w:rsidRDefault="002B1F19">
      <w:pPr>
        <w:jc w:val="both"/>
        <w:rPr>
          <w:rFonts w:ascii="Garamond" w:eastAsia="Garamond" w:hAnsi="Garamond" w:cs="Garamond"/>
          <w:sz w:val="24"/>
          <w:szCs w:val="24"/>
        </w:rPr>
      </w:pPr>
    </w:p>
    <w:p w14:paraId="725D87E9"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 xml:space="preserve">Para la última medición estos son los datos correspondientes a la Universidad de Caldas: </w:t>
      </w:r>
    </w:p>
    <w:p w14:paraId="0933E285" w14:textId="77777777" w:rsidR="002B1F19" w:rsidRDefault="002B1F19">
      <w:pPr>
        <w:jc w:val="both"/>
        <w:rPr>
          <w:rFonts w:ascii="Garamond" w:eastAsia="Garamond" w:hAnsi="Garamond" w:cs="Garamond"/>
          <w:sz w:val="24"/>
          <w:szCs w:val="24"/>
        </w:rPr>
      </w:pPr>
    </w:p>
    <w:p w14:paraId="2685B8F2" w14:textId="77777777" w:rsidR="002B1F19" w:rsidRDefault="00F80E55">
      <w:pPr>
        <w:jc w:val="center"/>
        <w:rPr>
          <w:rFonts w:ascii="Garamond" w:eastAsia="Garamond" w:hAnsi="Garamond" w:cs="Garamond"/>
          <w:sz w:val="24"/>
          <w:szCs w:val="24"/>
        </w:rPr>
      </w:pPr>
      <w:r>
        <w:rPr>
          <w:rFonts w:ascii="Garamond" w:eastAsia="Garamond" w:hAnsi="Garamond" w:cs="Garamond"/>
          <w:noProof/>
          <w:sz w:val="24"/>
          <w:szCs w:val="24"/>
        </w:rPr>
        <w:drawing>
          <wp:inline distT="114300" distB="114300" distL="114300" distR="114300" wp14:anchorId="30DE308A" wp14:editId="56F8FEB7">
            <wp:extent cx="4311564" cy="2673350"/>
            <wp:effectExtent l="0" t="0" r="0" b="0"/>
            <wp:docPr id="36" name="image31.png" descr="Gráfico"/>
            <wp:cNvGraphicFramePr/>
            <a:graphic xmlns:a="http://schemas.openxmlformats.org/drawingml/2006/main">
              <a:graphicData uri="http://schemas.openxmlformats.org/drawingml/2006/picture">
                <pic:pic xmlns:pic="http://schemas.openxmlformats.org/drawingml/2006/picture">
                  <pic:nvPicPr>
                    <pic:cNvPr id="0" name="image31.png" descr="Gráfico"/>
                    <pic:cNvPicPr preferRelativeResize="0"/>
                  </pic:nvPicPr>
                  <pic:blipFill>
                    <a:blip r:embed="rId42"/>
                    <a:srcRect/>
                    <a:stretch>
                      <a:fillRect/>
                    </a:stretch>
                  </pic:blipFill>
                  <pic:spPr>
                    <a:xfrm>
                      <a:off x="0" y="0"/>
                      <a:ext cx="4311564" cy="2673350"/>
                    </a:xfrm>
                    <a:prstGeom prst="rect">
                      <a:avLst/>
                    </a:prstGeom>
                    <a:ln/>
                  </pic:spPr>
                </pic:pic>
              </a:graphicData>
            </a:graphic>
          </wp:inline>
        </w:drawing>
      </w:r>
    </w:p>
    <w:p w14:paraId="7314F154" w14:textId="77777777" w:rsidR="002B1F19" w:rsidRDefault="00F80E55">
      <w:pPr>
        <w:jc w:val="both"/>
        <w:rPr>
          <w:rFonts w:ascii="Garamond" w:eastAsia="Garamond" w:hAnsi="Garamond" w:cs="Garamond"/>
          <w:i/>
          <w:sz w:val="24"/>
          <w:szCs w:val="24"/>
        </w:rPr>
      </w:pPr>
      <w:r>
        <w:rPr>
          <w:rFonts w:ascii="Garamond" w:eastAsia="Garamond" w:hAnsi="Garamond" w:cs="Garamond"/>
          <w:i/>
          <w:sz w:val="24"/>
          <w:szCs w:val="24"/>
        </w:rPr>
        <w:t xml:space="preserve">Capital humano según </w:t>
      </w:r>
      <w:r>
        <w:rPr>
          <w:rFonts w:ascii="Garamond" w:eastAsia="Garamond" w:hAnsi="Garamond" w:cs="Garamond"/>
          <w:sz w:val="24"/>
          <w:szCs w:val="24"/>
        </w:rPr>
        <w:t>MIDE</w:t>
      </w:r>
      <w:r>
        <w:rPr>
          <w:rFonts w:ascii="Garamond" w:eastAsia="Garamond" w:hAnsi="Garamond" w:cs="Garamond"/>
          <w:i/>
          <w:sz w:val="24"/>
          <w:szCs w:val="24"/>
        </w:rPr>
        <w:t xml:space="preserve"> </w:t>
      </w:r>
    </w:p>
    <w:p w14:paraId="057B266B" w14:textId="77777777" w:rsidR="002B1F19" w:rsidRDefault="002B1F19">
      <w:pPr>
        <w:jc w:val="both"/>
        <w:rPr>
          <w:rFonts w:ascii="Garamond" w:eastAsia="Garamond" w:hAnsi="Garamond" w:cs="Garamond"/>
          <w:i/>
          <w:sz w:val="24"/>
          <w:szCs w:val="24"/>
        </w:rPr>
      </w:pPr>
    </w:p>
    <w:p w14:paraId="607D96EF"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 xml:space="preserve">El indicador de capital humano del MIDE, considera los investigadores reconocidos por COLCIENCIAS y la formación del recurso humano. En la medición correspondiente al año 2017, la Universidad de Caldas registra un promedio inferior, con relación al número </w:t>
      </w:r>
      <w:r>
        <w:rPr>
          <w:rFonts w:ascii="Garamond" w:eastAsia="Garamond" w:hAnsi="Garamond" w:cs="Garamond"/>
          <w:sz w:val="24"/>
          <w:szCs w:val="24"/>
        </w:rPr>
        <w:t>de investigadores reconocidos comparado con la media nacional para instituciones con enfoque doctoral (0,25 y 0,21 respectivamente). En lo relativo a la formación de recursos humano, los resultados arrojan (0,00251 como media nacional para el tipo de insti</w:t>
      </w:r>
      <w:r>
        <w:rPr>
          <w:rFonts w:ascii="Garamond" w:eastAsia="Garamond" w:hAnsi="Garamond" w:cs="Garamond"/>
          <w:sz w:val="24"/>
          <w:szCs w:val="24"/>
        </w:rPr>
        <w:t>tuciones consideradas y para la de Caldas 0,00264) lo que muestra una leve superación de la media para este segundo aspecto.</w:t>
      </w:r>
    </w:p>
    <w:p w14:paraId="4D143447" w14:textId="77777777" w:rsidR="002B1F19" w:rsidRDefault="002B1F19">
      <w:pPr>
        <w:jc w:val="both"/>
        <w:rPr>
          <w:rFonts w:ascii="Garamond" w:eastAsia="Garamond" w:hAnsi="Garamond" w:cs="Garamond"/>
          <w:sz w:val="24"/>
          <w:szCs w:val="24"/>
        </w:rPr>
      </w:pPr>
    </w:p>
    <w:p w14:paraId="1B265F63" w14:textId="77777777" w:rsidR="002B1F19" w:rsidRDefault="002B1F19">
      <w:pPr>
        <w:jc w:val="both"/>
        <w:rPr>
          <w:rFonts w:ascii="Garamond" w:eastAsia="Garamond" w:hAnsi="Garamond" w:cs="Garamond"/>
          <w:sz w:val="24"/>
          <w:szCs w:val="24"/>
        </w:rPr>
      </w:pPr>
    </w:p>
    <w:p w14:paraId="2A261968" w14:textId="77777777" w:rsidR="002B1F19" w:rsidRDefault="00F80E55">
      <w:pPr>
        <w:jc w:val="both"/>
        <w:rPr>
          <w:rFonts w:ascii="Garamond" w:eastAsia="Garamond" w:hAnsi="Garamond" w:cs="Garamond"/>
          <w:sz w:val="24"/>
          <w:szCs w:val="24"/>
        </w:rPr>
      </w:pPr>
      <w:r>
        <w:rPr>
          <w:rFonts w:ascii="Garamond" w:eastAsia="Garamond" w:hAnsi="Garamond" w:cs="Garamond"/>
          <w:noProof/>
          <w:sz w:val="24"/>
          <w:szCs w:val="24"/>
        </w:rPr>
        <w:drawing>
          <wp:inline distT="114300" distB="114300" distL="114300" distR="114300" wp14:anchorId="2950917E" wp14:editId="12EA4E8A">
            <wp:extent cx="5734050" cy="2466975"/>
            <wp:effectExtent l="0" t="0" r="0" b="0"/>
            <wp:docPr id="2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3"/>
                    <a:srcRect t="16400" b="14643"/>
                    <a:stretch>
                      <a:fillRect/>
                    </a:stretch>
                  </pic:blipFill>
                  <pic:spPr>
                    <a:xfrm>
                      <a:off x="0" y="0"/>
                      <a:ext cx="5734050" cy="2466975"/>
                    </a:xfrm>
                    <a:prstGeom prst="rect">
                      <a:avLst/>
                    </a:prstGeom>
                    <a:ln/>
                  </pic:spPr>
                </pic:pic>
              </a:graphicData>
            </a:graphic>
          </wp:inline>
        </w:drawing>
      </w:r>
    </w:p>
    <w:p w14:paraId="12A9665A" w14:textId="77777777" w:rsidR="002B1F19" w:rsidRDefault="002B1F19">
      <w:pPr>
        <w:jc w:val="both"/>
        <w:rPr>
          <w:rFonts w:ascii="Garamond" w:eastAsia="Garamond" w:hAnsi="Garamond" w:cs="Garamond"/>
          <w:sz w:val="24"/>
          <w:szCs w:val="24"/>
        </w:rPr>
      </w:pPr>
    </w:p>
    <w:p w14:paraId="07C84DAF" w14:textId="77777777" w:rsidR="002B1F19" w:rsidRDefault="00F80E55">
      <w:pPr>
        <w:jc w:val="center"/>
        <w:rPr>
          <w:rFonts w:ascii="Garamond" w:eastAsia="Garamond" w:hAnsi="Garamond" w:cs="Garamond"/>
          <w:b/>
          <w:sz w:val="24"/>
          <w:szCs w:val="24"/>
        </w:rPr>
      </w:pPr>
      <w:r>
        <w:rPr>
          <w:rFonts w:ascii="Garamond" w:eastAsia="Garamond" w:hAnsi="Garamond" w:cs="Garamond"/>
          <w:b/>
          <w:sz w:val="24"/>
          <w:szCs w:val="24"/>
        </w:rPr>
        <w:t xml:space="preserve">Algunas consideraciones adicionales </w:t>
      </w:r>
    </w:p>
    <w:p w14:paraId="2A58F4E3" w14:textId="77777777" w:rsidR="002B1F19" w:rsidRDefault="002B1F19">
      <w:pPr>
        <w:jc w:val="center"/>
        <w:rPr>
          <w:rFonts w:ascii="Garamond" w:eastAsia="Garamond" w:hAnsi="Garamond" w:cs="Garamond"/>
          <w:b/>
          <w:sz w:val="24"/>
          <w:szCs w:val="24"/>
        </w:rPr>
      </w:pPr>
    </w:p>
    <w:p w14:paraId="31B778CA" w14:textId="77777777" w:rsidR="002B1F19" w:rsidRDefault="002B1F19">
      <w:pPr>
        <w:jc w:val="center"/>
        <w:rPr>
          <w:rFonts w:ascii="Garamond" w:eastAsia="Garamond" w:hAnsi="Garamond" w:cs="Garamond"/>
          <w:b/>
          <w:sz w:val="24"/>
          <w:szCs w:val="24"/>
        </w:rPr>
      </w:pPr>
    </w:p>
    <w:p w14:paraId="66A1AC6E" w14:textId="77777777" w:rsidR="002B1F19" w:rsidRDefault="00F80E55">
      <w:pPr>
        <w:numPr>
          <w:ilvl w:val="0"/>
          <w:numId w:val="6"/>
        </w:numPr>
        <w:jc w:val="both"/>
        <w:rPr>
          <w:rFonts w:ascii="Garamond" w:eastAsia="Garamond" w:hAnsi="Garamond" w:cs="Garamond"/>
          <w:sz w:val="24"/>
          <w:szCs w:val="24"/>
        </w:rPr>
      </w:pPr>
      <w:r>
        <w:rPr>
          <w:rFonts w:ascii="Garamond" w:eastAsia="Garamond" w:hAnsi="Garamond" w:cs="Garamond"/>
          <w:sz w:val="24"/>
          <w:szCs w:val="24"/>
        </w:rPr>
        <w:t>Hay un desempeño positivo de la Universidad en la formación doctoral, al alcanzar 156 p</w:t>
      </w:r>
      <w:r>
        <w:rPr>
          <w:rFonts w:ascii="Garamond" w:eastAsia="Garamond" w:hAnsi="Garamond" w:cs="Garamond"/>
          <w:sz w:val="24"/>
          <w:szCs w:val="24"/>
        </w:rPr>
        <w:t>rofesores con doctorado para el año 2018. Sin embargo, es importante comparar este desempeño con la dimensión de capital humano, específicamente la variable de “formación del recurso humano” que registra el MIDE, pues la Universidad se sigue ubicando por d</w:t>
      </w:r>
      <w:r>
        <w:rPr>
          <w:rFonts w:ascii="Garamond" w:eastAsia="Garamond" w:hAnsi="Garamond" w:cs="Garamond"/>
          <w:sz w:val="24"/>
          <w:szCs w:val="24"/>
        </w:rPr>
        <w:t>ebajo del promedio nacional de Universidades con enfoque doctoral.</w:t>
      </w:r>
    </w:p>
    <w:p w14:paraId="6360EA00" w14:textId="77777777" w:rsidR="002B1F19" w:rsidRDefault="002B1F19">
      <w:pPr>
        <w:jc w:val="both"/>
        <w:rPr>
          <w:rFonts w:ascii="Garamond" w:eastAsia="Garamond" w:hAnsi="Garamond" w:cs="Garamond"/>
          <w:sz w:val="24"/>
          <w:szCs w:val="24"/>
        </w:rPr>
      </w:pPr>
    </w:p>
    <w:p w14:paraId="17FDED60" w14:textId="77777777" w:rsidR="002B1F19" w:rsidRDefault="002B1F19">
      <w:pPr>
        <w:jc w:val="both"/>
        <w:rPr>
          <w:rFonts w:ascii="Garamond" w:eastAsia="Garamond" w:hAnsi="Garamond" w:cs="Garamond"/>
          <w:sz w:val="24"/>
          <w:szCs w:val="24"/>
        </w:rPr>
      </w:pPr>
    </w:p>
    <w:p w14:paraId="03883A85" w14:textId="77777777" w:rsidR="002B1F19" w:rsidRDefault="002B1F19">
      <w:pPr>
        <w:jc w:val="both"/>
        <w:rPr>
          <w:rFonts w:ascii="Garamond" w:eastAsia="Garamond" w:hAnsi="Garamond" w:cs="Garamond"/>
          <w:sz w:val="24"/>
          <w:szCs w:val="24"/>
        </w:rPr>
      </w:pPr>
    </w:p>
    <w:p w14:paraId="1C39AE1A" w14:textId="77777777" w:rsidR="002B1F19" w:rsidRDefault="002B1F19">
      <w:pPr>
        <w:rPr>
          <w:rFonts w:ascii="Garamond" w:eastAsia="Garamond" w:hAnsi="Garamond" w:cs="Garamond"/>
          <w:sz w:val="24"/>
          <w:szCs w:val="24"/>
        </w:rPr>
      </w:pPr>
    </w:p>
    <w:p w14:paraId="6BD8CE3F" w14:textId="77777777" w:rsidR="002B1F19" w:rsidRDefault="002B1F19">
      <w:pPr>
        <w:rPr>
          <w:rFonts w:ascii="Garamond" w:eastAsia="Garamond" w:hAnsi="Garamond" w:cs="Garamond"/>
          <w:sz w:val="24"/>
          <w:szCs w:val="24"/>
        </w:rPr>
      </w:pPr>
    </w:p>
    <w:p w14:paraId="776D2691"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En relación a la variable estratégica de cualificación docente hubo una transformación importante. Se pasó de 50 docentes con formación doctoral en el año 2009 a 156 docentes con forma</w:t>
      </w:r>
      <w:r>
        <w:rPr>
          <w:rFonts w:ascii="Garamond" w:eastAsia="Garamond" w:hAnsi="Garamond" w:cs="Garamond"/>
          <w:sz w:val="24"/>
          <w:szCs w:val="24"/>
        </w:rPr>
        <w:t>ción doctoral en el año 2018.  En este caso, en particular, se supera la meta de 104 docentes con doctorado que se había trazado para el PDI 2009-2018.</w:t>
      </w:r>
    </w:p>
    <w:p w14:paraId="316D873B" w14:textId="77777777" w:rsidR="002B1F19" w:rsidRDefault="002B1F19">
      <w:pPr>
        <w:jc w:val="both"/>
        <w:rPr>
          <w:rFonts w:ascii="Garamond" w:eastAsia="Garamond" w:hAnsi="Garamond" w:cs="Garamond"/>
          <w:sz w:val="24"/>
          <w:szCs w:val="24"/>
        </w:rPr>
      </w:pPr>
    </w:p>
    <w:p w14:paraId="51E9B454" w14:textId="77777777" w:rsidR="002B1F19" w:rsidRDefault="002B1F19">
      <w:pPr>
        <w:jc w:val="both"/>
        <w:rPr>
          <w:rFonts w:ascii="Garamond" w:eastAsia="Garamond" w:hAnsi="Garamond" w:cs="Garamond"/>
          <w:sz w:val="24"/>
          <w:szCs w:val="24"/>
        </w:rPr>
      </w:pPr>
    </w:p>
    <w:p w14:paraId="0DB7E8D0" w14:textId="77777777" w:rsidR="002B1F19" w:rsidRDefault="00F80E55">
      <w:pPr>
        <w:spacing w:after="200" w:line="240" w:lineRule="auto"/>
        <w:jc w:val="center"/>
        <w:rPr>
          <w:rFonts w:ascii="Garamond" w:eastAsia="Garamond" w:hAnsi="Garamond" w:cs="Garamond"/>
          <w:b/>
          <w:color w:val="4F81BD"/>
          <w:sz w:val="21"/>
          <w:szCs w:val="21"/>
        </w:rPr>
      </w:pPr>
      <w:bookmarkStart w:id="3" w:name="_z337ya" w:colFirst="0" w:colLast="0"/>
      <w:bookmarkEnd w:id="3"/>
      <w:r>
        <w:rPr>
          <w:rFonts w:ascii="Garamond" w:eastAsia="Garamond" w:hAnsi="Garamond" w:cs="Garamond"/>
          <w:b/>
          <w:color w:val="4F81BD"/>
          <w:sz w:val="18"/>
          <w:szCs w:val="18"/>
        </w:rPr>
        <w:t>Ilustración 1. Docentes de planta con formación doctoral</w:t>
      </w:r>
    </w:p>
    <w:p w14:paraId="636B356C" w14:textId="77777777" w:rsidR="002B1F19" w:rsidRDefault="00F80E55">
      <w:pPr>
        <w:spacing w:line="240" w:lineRule="auto"/>
        <w:ind w:left="720"/>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41D3CDB6" wp14:editId="7587A731">
            <wp:extent cx="4270213" cy="2486025"/>
            <wp:effectExtent l="0" t="0" r="0" b="0"/>
            <wp:docPr id="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4"/>
                    <a:srcRect/>
                    <a:stretch>
                      <a:fillRect/>
                    </a:stretch>
                  </pic:blipFill>
                  <pic:spPr>
                    <a:xfrm>
                      <a:off x="0" y="0"/>
                      <a:ext cx="4270213" cy="2486025"/>
                    </a:xfrm>
                    <a:prstGeom prst="rect">
                      <a:avLst/>
                    </a:prstGeom>
                    <a:ln/>
                  </pic:spPr>
                </pic:pic>
              </a:graphicData>
            </a:graphic>
          </wp:inline>
        </w:drawing>
      </w:r>
    </w:p>
    <w:p w14:paraId="22ED637A" w14:textId="77777777" w:rsidR="002B1F19" w:rsidRDefault="00F80E55">
      <w:pPr>
        <w:spacing w:line="240" w:lineRule="auto"/>
        <w:ind w:left="720"/>
        <w:jc w:val="center"/>
        <w:rPr>
          <w:rFonts w:ascii="Garamond" w:eastAsia="Garamond" w:hAnsi="Garamond" w:cs="Garamond"/>
          <w:sz w:val="24"/>
          <w:szCs w:val="24"/>
        </w:rPr>
      </w:pPr>
      <w:r>
        <w:rPr>
          <w:rFonts w:ascii="Garamond" w:eastAsia="Garamond" w:hAnsi="Garamond" w:cs="Garamond"/>
          <w:sz w:val="18"/>
          <w:szCs w:val="18"/>
        </w:rPr>
        <w:t>Fuente: Oficina Asesora de Planeación y Sis</w:t>
      </w:r>
      <w:r>
        <w:rPr>
          <w:rFonts w:ascii="Garamond" w:eastAsia="Garamond" w:hAnsi="Garamond" w:cs="Garamond"/>
          <w:sz w:val="18"/>
          <w:szCs w:val="18"/>
        </w:rPr>
        <w:t>temas</w:t>
      </w:r>
    </w:p>
    <w:p w14:paraId="080E00BD" w14:textId="77777777" w:rsidR="002B1F19" w:rsidRDefault="002B1F19">
      <w:pPr>
        <w:rPr>
          <w:rFonts w:ascii="Garamond" w:eastAsia="Garamond" w:hAnsi="Garamond" w:cs="Garamond"/>
          <w:sz w:val="24"/>
          <w:szCs w:val="24"/>
        </w:rPr>
      </w:pPr>
    </w:p>
    <w:p w14:paraId="1C3EF5BB" w14:textId="77777777" w:rsidR="002B1F19" w:rsidRDefault="00F80E55">
      <w:pPr>
        <w:spacing w:line="240" w:lineRule="auto"/>
        <w:jc w:val="both"/>
        <w:rPr>
          <w:rFonts w:ascii="Garamond" w:eastAsia="Garamond" w:hAnsi="Garamond" w:cs="Garamond"/>
          <w:sz w:val="24"/>
          <w:szCs w:val="24"/>
        </w:rPr>
      </w:pPr>
      <w:r>
        <w:rPr>
          <w:rFonts w:ascii="Garamond" w:eastAsia="Garamond" w:hAnsi="Garamond" w:cs="Garamond"/>
          <w:sz w:val="24"/>
          <w:szCs w:val="24"/>
        </w:rPr>
        <w:t>La formación en segunda lengua no ha podido ser medida, pues la Universidad carece de información y de una línea base al respecto. La meta de formación de docentes en segunda lengua era de 80%, sin embargo no hay forma de saber en qué porcentaje fue cumpli</w:t>
      </w:r>
      <w:r>
        <w:rPr>
          <w:rFonts w:ascii="Garamond" w:eastAsia="Garamond" w:hAnsi="Garamond" w:cs="Garamond"/>
          <w:sz w:val="24"/>
          <w:szCs w:val="24"/>
        </w:rPr>
        <w:t xml:space="preserve">da la meta del Plan de Desarrollo. </w:t>
      </w:r>
    </w:p>
    <w:p w14:paraId="3665BAB6" w14:textId="77777777" w:rsidR="002B1F19" w:rsidRDefault="002B1F19">
      <w:pPr>
        <w:spacing w:line="240" w:lineRule="auto"/>
        <w:jc w:val="both"/>
        <w:rPr>
          <w:rFonts w:ascii="Garamond" w:eastAsia="Garamond" w:hAnsi="Garamond" w:cs="Garamond"/>
          <w:sz w:val="24"/>
          <w:szCs w:val="24"/>
        </w:rPr>
      </w:pPr>
    </w:p>
    <w:p w14:paraId="77B89F4C" w14:textId="77777777" w:rsidR="002B1F19" w:rsidRDefault="002B1F19">
      <w:pPr>
        <w:spacing w:line="240" w:lineRule="auto"/>
        <w:jc w:val="both"/>
        <w:rPr>
          <w:rFonts w:ascii="Garamond" w:eastAsia="Garamond" w:hAnsi="Garamond" w:cs="Garamond"/>
          <w:sz w:val="24"/>
          <w:szCs w:val="24"/>
        </w:rPr>
      </w:pPr>
    </w:p>
    <w:p w14:paraId="00C415E2" w14:textId="77777777" w:rsidR="002B1F19" w:rsidRDefault="00F80E55">
      <w:pPr>
        <w:jc w:val="both"/>
        <w:rPr>
          <w:rFonts w:ascii="Garamond" w:eastAsia="Garamond" w:hAnsi="Garamond" w:cs="Garamond"/>
          <w:sz w:val="24"/>
          <w:szCs w:val="24"/>
        </w:rPr>
      </w:pPr>
      <w:r>
        <w:rPr>
          <w:rFonts w:ascii="Garamond" w:eastAsia="Garamond" w:hAnsi="Garamond" w:cs="Garamond"/>
          <w:sz w:val="24"/>
          <w:szCs w:val="24"/>
        </w:rPr>
        <w:t>Para formarnos una idea del impacto de la investigación en la Universidad de Caldas es importante considerar que entre el año 1963 y el año 1996 (un período de 33 años) la Universidad de Caldas publicó 46 documentos de impacto internacional, mientras que e</w:t>
      </w:r>
      <w:r>
        <w:rPr>
          <w:rFonts w:ascii="Garamond" w:eastAsia="Garamond" w:hAnsi="Garamond" w:cs="Garamond"/>
          <w:sz w:val="24"/>
          <w:szCs w:val="24"/>
        </w:rPr>
        <w:t>ntre el año 1997 y el presente (un periodo de apenas 22 años) publicó 1461 documentos, lo que permite puntualizar que el 97% de estos se produjeron en un lapso de 7 años, entre el 2011 y el 2018</w:t>
      </w:r>
      <w:r>
        <w:rPr>
          <w:rFonts w:ascii="Garamond" w:eastAsia="Garamond" w:hAnsi="Garamond" w:cs="Garamond"/>
          <w:sz w:val="24"/>
          <w:szCs w:val="24"/>
          <w:vertAlign w:val="superscript"/>
        </w:rPr>
        <w:footnoteReference w:id="2"/>
      </w:r>
      <w:r>
        <w:rPr>
          <w:rFonts w:ascii="Garamond" w:eastAsia="Garamond" w:hAnsi="Garamond" w:cs="Garamond"/>
          <w:sz w:val="24"/>
          <w:szCs w:val="24"/>
        </w:rPr>
        <w:t xml:space="preserve">. </w:t>
      </w:r>
    </w:p>
    <w:p w14:paraId="7D882889" w14:textId="77777777" w:rsidR="002B1F19" w:rsidRDefault="002B1F19">
      <w:pPr>
        <w:spacing w:line="240" w:lineRule="auto"/>
        <w:jc w:val="both"/>
        <w:rPr>
          <w:rFonts w:ascii="Garamond" w:eastAsia="Garamond" w:hAnsi="Garamond" w:cs="Garamond"/>
          <w:sz w:val="24"/>
          <w:szCs w:val="24"/>
        </w:rPr>
      </w:pPr>
    </w:p>
    <w:p w14:paraId="6B87FAC4" w14:textId="77777777" w:rsidR="002B1F19" w:rsidRDefault="002B1F19">
      <w:pPr>
        <w:rPr>
          <w:rFonts w:ascii="Garamond" w:eastAsia="Garamond" w:hAnsi="Garamond" w:cs="Garamond"/>
          <w:sz w:val="24"/>
          <w:szCs w:val="24"/>
        </w:rPr>
      </w:pPr>
    </w:p>
    <w:p w14:paraId="5AAC2544" w14:textId="77777777" w:rsidR="002B1F19" w:rsidRDefault="002B1F19">
      <w:pPr>
        <w:rPr>
          <w:rFonts w:ascii="Garamond" w:eastAsia="Garamond" w:hAnsi="Garamond" w:cs="Garamond"/>
          <w:sz w:val="24"/>
          <w:szCs w:val="24"/>
        </w:rPr>
      </w:pPr>
    </w:p>
    <w:p w14:paraId="191E897B" w14:textId="77777777" w:rsidR="002B1F19" w:rsidRDefault="00F80E55">
      <w:pPr>
        <w:rPr>
          <w:rFonts w:ascii="Garamond" w:eastAsia="Garamond" w:hAnsi="Garamond" w:cs="Garamond"/>
          <w:sz w:val="24"/>
          <w:szCs w:val="24"/>
        </w:rPr>
      </w:pPr>
      <w:hyperlink r:id="rId45">
        <w:r>
          <w:rPr>
            <w:rFonts w:ascii="Garamond" w:eastAsia="Garamond" w:hAnsi="Garamond" w:cs="Garamond"/>
            <w:color w:val="1155CC"/>
            <w:sz w:val="24"/>
            <w:szCs w:val="24"/>
            <w:u w:val="single"/>
          </w:rPr>
          <w:t>https://www.unodc.org/documents/wdr/WDR_2010/2.0_Drug_statistics_and_Trends.pdf</w:t>
        </w:r>
      </w:hyperlink>
    </w:p>
    <w:p w14:paraId="438CFD1D" w14:textId="77777777" w:rsidR="002B1F19" w:rsidRDefault="00F80E55">
      <w:pPr>
        <w:rPr>
          <w:rFonts w:ascii="Garamond" w:eastAsia="Garamond" w:hAnsi="Garamond" w:cs="Garamond"/>
          <w:sz w:val="24"/>
          <w:szCs w:val="24"/>
        </w:rPr>
      </w:pPr>
      <w:hyperlink r:id="rId46">
        <w:r>
          <w:rPr>
            <w:rFonts w:ascii="Garamond" w:eastAsia="Garamond" w:hAnsi="Garamond" w:cs="Garamond"/>
            <w:color w:val="1155CC"/>
            <w:sz w:val="24"/>
            <w:szCs w:val="24"/>
            <w:u w:val="single"/>
          </w:rPr>
          <w:t>https://pdfs.semanticscholar.org/c</w:t>
        </w:r>
        <w:r>
          <w:rPr>
            <w:rFonts w:ascii="Garamond" w:eastAsia="Garamond" w:hAnsi="Garamond" w:cs="Garamond"/>
            <w:color w:val="1155CC"/>
            <w:sz w:val="24"/>
            <w:szCs w:val="24"/>
            <w:u w:val="single"/>
          </w:rPr>
          <w:t>f75/931b9d9b2b48a883d735e8596d7a83bedbe4.pdf</w:t>
        </w:r>
      </w:hyperlink>
    </w:p>
    <w:p w14:paraId="12D71BAD" w14:textId="77777777" w:rsidR="002B1F19" w:rsidRDefault="00F80E55">
      <w:pPr>
        <w:rPr>
          <w:rFonts w:ascii="Garamond" w:eastAsia="Garamond" w:hAnsi="Garamond" w:cs="Garamond"/>
          <w:sz w:val="24"/>
          <w:szCs w:val="24"/>
        </w:rPr>
      </w:pPr>
      <w:hyperlink r:id="rId47">
        <w:r>
          <w:rPr>
            <w:rFonts w:ascii="Garamond" w:eastAsia="Garamond" w:hAnsi="Garamond" w:cs="Garamond"/>
            <w:color w:val="1155CC"/>
            <w:sz w:val="24"/>
            <w:szCs w:val="24"/>
            <w:u w:val="single"/>
          </w:rPr>
          <w:t>https://medcraveonline.com/FRCIJ/FRCIJ-05-00158.pdf</w:t>
        </w:r>
      </w:hyperlink>
    </w:p>
    <w:p w14:paraId="614D8307" w14:textId="77777777" w:rsidR="002B1F19" w:rsidRDefault="00F80E55">
      <w:pPr>
        <w:rPr>
          <w:rFonts w:ascii="Garamond" w:eastAsia="Garamond" w:hAnsi="Garamond" w:cs="Garamond"/>
          <w:sz w:val="24"/>
          <w:szCs w:val="24"/>
        </w:rPr>
      </w:pPr>
      <w:hyperlink r:id="rId48">
        <w:r>
          <w:rPr>
            <w:rFonts w:ascii="Garamond" w:eastAsia="Garamond" w:hAnsi="Garamond" w:cs="Garamond"/>
            <w:color w:val="1155CC"/>
            <w:sz w:val="24"/>
            <w:szCs w:val="24"/>
            <w:u w:val="single"/>
          </w:rPr>
          <w:t>http://www.emcdda.europa.eu/publications/drug-use-in-prison-assessment-report_en</w:t>
        </w:r>
      </w:hyperlink>
    </w:p>
    <w:p w14:paraId="75A892CF" w14:textId="77777777" w:rsidR="002B1F19" w:rsidRDefault="002B1F19">
      <w:pPr>
        <w:rPr>
          <w:rFonts w:ascii="Garamond" w:eastAsia="Garamond" w:hAnsi="Garamond" w:cs="Garamond"/>
          <w:sz w:val="24"/>
          <w:szCs w:val="24"/>
        </w:rPr>
      </w:pPr>
    </w:p>
    <w:p w14:paraId="5F150549" w14:textId="77777777" w:rsidR="002B1F19" w:rsidRDefault="002B1F19">
      <w:pPr>
        <w:rPr>
          <w:rFonts w:ascii="Garamond" w:eastAsia="Garamond" w:hAnsi="Garamond" w:cs="Garamond"/>
          <w:sz w:val="24"/>
          <w:szCs w:val="24"/>
        </w:rPr>
      </w:pPr>
    </w:p>
    <w:p w14:paraId="4478A58D" w14:textId="77777777" w:rsidR="002B1F19" w:rsidRDefault="002B1F19">
      <w:pPr>
        <w:rPr>
          <w:rFonts w:ascii="Garamond" w:eastAsia="Garamond" w:hAnsi="Garamond" w:cs="Garamond"/>
          <w:sz w:val="24"/>
          <w:szCs w:val="24"/>
        </w:rPr>
      </w:pPr>
    </w:p>
    <w:p w14:paraId="6373D881" w14:textId="77777777" w:rsidR="002B1F19" w:rsidRDefault="002B1F19">
      <w:pPr>
        <w:rPr>
          <w:rFonts w:ascii="Garamond" w:eastAsia="Garamond" w:hAnsi="Garamond" w:cs="Garamond"/>
          <w:sz w:val="24"/>
          <w:szCs w:val="24"/>
        </w:rPr>
      </w:pPr>
    </w:p>
    <w:p w14:paraId="6E45B53C" w14:textId="77777777" w:rsidR="002B1F19" w:rsidRDefault="002B1F19">
      <w:pPr>
        <w:rPr>
          <w:rFonts w:ascii="Garamond" w:eastAsia="Garamond" w:hAnsi="Garamond" w:cs="Garamond"/>
          <w:sz w:val="24"/>
          <w:szCs w:val="24"/>
        </w:rPr>
      </w:pPr>
    </w:p>
    <w:p w14:paraId="0346BFFA" w14:textId="77777777" w:rsidR="002B1F19" w:rsidRDefault="002B1F19">
      <w:pPr>
        <w:rPr>
          <w:rFonts w:ascii="Garamond" w:eastAsia="Garamond" w:hAnsi="Garamond" w:cs="Garamond"/>
          <w:sz w:val="24"/>
          <w:szCs w:val="24"/>
        </w:rPr>
      </w:pPr>
    </w:p>
    <w:p w14:paraId="4C3F92FD" w14:textId="77777777" w:rsidR="002B1F19" w:rsidRDefault="002B1F19">
      <w:pPr>
        <w:rPr>
          <w:rFonts w:ascii="Garamond" w:eastAsia="Garamond" w:hAnsi="Garamond" w:cs="Garamond"/>
          <w:sz w:val="24"/>
          <w:szCs w:val="24"/>
        </w:rPr>
      </w:pPr>
    </w:p>
    <w:p w14:paraId="3DF6E475" w14:textId="77777777" w:rsidR="002B1F19" w:rsidRDefault="002B1F19">
      <w:pPr>
        <w:rPr>
          <w:rFonts w:ascii="Garamond" w:eastAsia="Garamond" w:hAnsi="Garamond" w:cs="Garamond"/>
          <w:sz w:val="24"/>
          <w:szCs w:val="24"/>
        </w:rPr>
      </w:pPr>
    </w:p>
    <w:p w14:paraId="43A7203D" w14:textId="77777777" w:rsidR="002B1F19" w:rsidRDefault="00F80E55">
      <w:pPr>
        <w:rPr>
          <w:rFonts w:ascii="Garamond" w:eastAsia="Garamond" w:hAnsi="Garamond" w:cs="Garamond"/>
          <w:sz w:val="24"/>
          <w:szCs w:val="24"/>
        </w:rPr>
      </w:pPr>
      <w:r>
        <w:rPr>
          <w:rFonts w:ascii="Garamond" w:eastAsia="Garamond" w:hAnsi="Garamond" w:cs="Garamond"/>
          <w:sz w:val="24"/>
          <w:szCs w:val="24"/>
        </w:rPr>
        <w:t xml:space="preserve"> </w:t>
      </w:r>
    </w:p>
    <w:sectPr w:rsidR="002B1F19">
      <w:headerReference w:type="default" r:id="rId49"/>
      <w:footerReference w:type="default" r:id="rId50"/>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NICOLAS ALBERTO DUQUE BUITRAGO" w:date="2019-08-09T00:44:00Z" w:initials="">
    <w:p w14:paraId="7025E81A" w14:textId="77777777" w:rsidR="002B1F19" w:rsidRDefault="00F80E55">
      <w:pPr>
        <w:widowControl w:val="0"/>
        <w:pBdr>
          <w:top w:val="nil"/>
          <w:left w:val="nil"/>
          <w:bottom w:val="nil"/>
          <w:right w:val="nil"/>
          <w:between w:val="nil"/>
        </w:pBdr>
        <w:spacing w:line="240" w:lineRule="auto"/>
        <w:rPr>
          <w:color w:val="000000"/>
        </w:rPr>
      </w:pPr>
      <w:r>
        <w:rPr>
          <w:color w:val="000000"/>
        </w:rPr>
        <w:t>Verificar la información de la tabla para 2018.</w:t>
      </w:r>
    </w:p>
  </w:comment>
  <w:comment w:id="2" w:author="NICOLAS ALBERTO DUQUE BUITRAGO" w:date="2019-08-24T14:50:00Z" w:initials="">
    <w:p w14:paraId="79461D76" w14:textId="77777777" w:rsidR="002B1F19" w:rsidRDefault="00F80E55">
      <w:pPr>
        <w:widowControl w:val="0"/>
        <w:pBdr>
          <w:top w:val="nil"/>
          <w:left w:val="nil"/>
          <w:bottom w:val="nil"/>
          <w:right w:val="nil"/>
          <w:between w:val="nil"/>
        </w:pBdr>
        <w:spacing w:line="240" w:lineRule="auto"/>
        <w:rPr>
          <w:color w:val="000000"/>
        </w:rPr>
      </w:pPr>
      <w:r>
        <w:rPr>
          <w:color w:val="000000"/>
        </w:rPr>
        <w:t>Hay que hacer actualización a 2018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025E81A" w15:done="0"/>
  <w15:commentEx w15:paraId="79461D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25E81A" w16cid:durableId="211EA7A7"/>
  <w16cid:commentId w16cid:paraId="79461D76" w16cid:durableId="211EA7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EB1EE" w14:textId="77777777" w:rsidR="00F80E55" w:rsidRDefault="00F80E55">
      <w:pPr>
        <w:spacing w:line="240" w:lineRule="auto"/>
      </w:pPr>
      <w:r>
        <w:separator/>
      </w:r>
    </w:p>
  </w:endnote>
  <w:endnote w:type="continuationSeparator" w:id="0">
    <w:p w14:paraId="425EEE68" w14:textId="77777777" w:rsidR="00F80E55" w:rsidRDefault="00F80E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7BF5C" w14:textId="77777777" w:rsidR="002B1F19" w:rsidRDefault="002B1F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CF62B" w14:textId="77777777" w:rsidR="00F80E55" w:rsidRDefault="00F80E55">
      <w:pPr>
        <w:spacing w:line="240" w:lineRule="auto"/>
      </w:pPr>
      <w:r>
        <w:separator/>
      </w:r>
    </w:p>
  </w:footnote>
  <w:footnote w:type="continuationSeparator" w:id="0">
    <w:p w14:paraId="688629E1" w14:textId="77777777" w:rsidR="00F80E55" w:rsidRDefault="00F80E55">
      <w:pPr>
        <w:spacing w:line="240" w:lineRule="auto"/>
      </w:pPr>
      <w:r>
        <w:continuationSeparator/>
      </w:r>
    </w:p>
  </w:footnote>
  <w:footnote w:id="1">
    <w:p w14:paraId="7A967384" w14:textId="77777777" w:rsidR="002B1F19" w:rsidRDefault="00F80E55">
      <w:pPr>
        <w:spacing w:line="240" w:lineRule="auto"/>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w:t>
      </w:r>
      <w:r>
        <w:rPr>
          <w:rFonts w:ascii="Garamond" w:eastAsia="Garamond" w:hAnsi="Garamond" w:cs="Garamond"/>
          <w:i/>
          <w:sz w:val="20"/>
          <w:szCs w:val="20"/>
        </w:rPr>
        <w:t xml:space="preserve">Biblat, </w:t>
      </w:r>
      <w:r>
        <w:rPr>
          <w:rFonts w:ascii="Garamond" w:eastAsia="Garamond" w:hAnsi="Garamond" w:cs="Garamond"/>
          <w:sz w:val="20"/>
          <w:szCs w:val="20"/>
        </w:rPr>
        <w:t xml:space="preserve">a diferencia de </w:t>
      </w:r>
      <w:r>
        <w:rPr>
          <w:rFonts w:ascii="Garamond" w:eastAsia="Garamond" w:hAnsi="Garamond" w:cs="Garamond"/>
          <w:i/>
          <w:sz w:val="20"/>
          <w:szCs w:val="20"/>
        </w:rPr>
        <w:t xml:space="preserve">WOS </w:t>
      </w:r>
      <w:r>
        <w:rPr>
          <w:rFonts w:ascii="Garamond" w:eastAsia="Garamond" w:hAnsi="Garamond" w:cs="Garamond"/>
          <w:sz w:val="20"/>
          <w:szCs w:val="20"/>
        </w:rPr>
        <w:t xml:space="preserve">y </w:t>
      </w:r>
      <w:r>
        <w:rPr>
          <w:rFonts w:ascii="Garamond" w:eastAsia="Garamond" w:hAnsi="Garamond" w:cs="Garamond"/>
          <w:i/>
          <w:sz w:val="20"/>
          <w:szCs w:val="20"/>
        </w:rPr>
        <w:t xml:space="preserve">Wizdom, </w:t>
      </w:r>
      <w:r>
        <w:rPr>
          <w:rFonts w:ascii="Garamond" w:eastAsia="Garamond" w:hAnsi="Garamond" w:cs="Garamond"/>
          <w:sz w:val="20"/>
          <w:szCs w:val="20"/>
        </w:rPr>
        <w:t>solo toma en cuenta la investigación producida en idioma español y toma como referencia la información indexada en CLASE, PERIÓDICA y Scielo.</w:t>
      </w:r>
    </w:p>
  </w:footnote>
  <w:footnote w:id="2">
    <w:p w14:paraId="78DA75FA" w14:textId="77777777" w:rsidR="002B1F19" w:rsidRDefault="00F80E55">
      <w:pPr>
        <w:spacing w:line="240" w:lineRule="auto"/>
        <w:rPr>
          <w:rFonts w:ascii="Garamond" w:eastAsia="Garamond" w:hAnsi="Garamond" w:cs="Garamond"/>
          <w:i/>
          <w:sz w:val="20"/>
          <w:szCs w:val="20"/>
        </w:rPr>
      </w:pPr>
      <w:r>
        <w:rPr>
          <w:vertAlign w:val="superscript"/>
        </w:rPr>
        <w:footnoteRef/>
      </w:r>
      <w:r>
        <w:rPr>
          <w:sz w:val="20"/>
          <w:szCs w:val="20"/>
        </w:rPr>
        <w:t xml:space="preserve"> </w:t>
      </w:r>
      <w:r>
        <w:rPr>
          <w:rFonts w:ascii="Garamond" w:eastAsia="Garamond" w:hAnsi="Garamond" w:cs="Garamond"/>
          <w:sz w:val="20"/>
          <w:szCs w:val="20"/>
        </w:rPr>
        <w:t>Para el análisis del comportamiento de la investigación en la Universidad de Caldas se utilizó la información de</w:t>
      </w:r>
      <w:r>
        <w:rPr>
          <w:rFonts w:ascii="Garamond" w:eastAsia="Garamond" w:hAnsi="Garamond" w:cs="Garamond"/>
          <w:sz w:val="20"/>
          <w:szCs w:val="20"/>
        </w:rPr>
        <w:t xml:space="preserve"> </w:t>
      </w:r>
      <w:r>
        <w:rPr>
          <w:rFonts w:ascii="Garamond" w:eastAsia="Garamond" w:hAnsi="Garamond" w:cs="Garamond"/>
          <w:i/>
          <w:sz w:val="20"/>
          <w:szCs w:val="20"/>
        </w:rPr>
        <w:t xml:space="preserve">Scopus </w:t>
      </w:r>
      <w:r>
        <w:rPr>
          <w:rFonts w:ascii="Garamond" w:eastAsia="Garamond" w:hAnsi="Garamond" w:cs="Garamond"/>
          <w:sz w:val="20"/>
          <w:szCs w:val="20"/>
        </w:rPr>
        <w:t>entre el año 1963 y el año 2019</w:t>
      </w:r>
      <w:r>
        <w:rPr>
          <w:rFonts w:ascii="Garamond" w:eastAsia="Garamond" w:hAnsi="Garamond" w:cs="Garamond"/>
          <w:i/>
          <w:sz w:val="20"/>
          <w:szCs w:val="20"/>
        </w:rPr>
        <w:t>.</w:t>
      </w:r>
    </w:p>
    <w:p w14:paraId="6FECEEBB" w14:textId="77777777" w:rsidR="002B1F19" w:rsidRDefault="002B1F19">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302A8" w14:textId="77777777" w:rsidR="002B1F19" w:rsidRDefault="002B1F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ED1"/>
    <w:multiLevelType w:val="multilevel"/>
    <w:tmpl w:val="2A380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18A6E46"/>
    <w:multiLevelType w:val="multilevel"/>
    <w:tmpl w:val="84726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0157B5"/>
    <w:multiLevelType w:val="multilevel"/>
    <w:tmpl w:val="252EC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B8562A"/>
    <w:multiLevelType w:val="multilevel"/>
    <w:tmpl w:val="B9B00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CD5166"/>
    <w:multiLevelType w:val="multilevel"/>
    <w:tmpl w:val="E5A0D1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8267B88"/>
    <w:multiLevelType w:val="multilevel"/>
    <w:tmpl w:val="B2863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C330BF5"/>
    <w:multiLevelType w:val="multilevel"/>
    <w:tmpl w:val="D7100D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1"/>
  </w:num>
  <w:num w:numId="3">
    <w:abstractNumId w:val="2"/>
  </w:num>
  <w:num w:numId="4">
    <w:abstractNumId w:val="5"/>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F19"/>
    <w:rsid w:val="002B1F19"/>
    <w:rsid w:val="00AE695F"/>
    <w:rsid w:val="00F80E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31D73469"/>
  <w15:docId w15:val="{073B5CFC-FB1D-AC48-B8BE-A9ECF3CEF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rPr>
      <w:rFonts w:ascii="Calibri" w:eastAsia="Calibri" w:hAnsi="Calibri" w:cs="Calibri"/>
      <w:color w:val="000000"/>
    </w:rPr>
    <w:tblPr>
      <w:tblStyleRowBandSize w:val="1"/>
      <w:tblStyleColBandSize w:val="1"/>
      <w:tblCellMar>
        <w:top w:w="100" w:type="dxa"/>
        <w:left w:w="100" w:type="dxa"/>
        <w:bottom w:w="100" w:type="dxa"/>
        <w:right w:w="100" w:type="dxa"/>
      </w:tblCellMar>
    </w:tblPr>
    <w:tcPr>
      <w:shd w:val="clear" w:color="auto" w:fill="E8EBF5"/>
    </w:tcPr>
    <w:tblStylePr w:type="firstRow">
      <w:rPr>
        <w:rFonts w:ascii="Calibri" w:eastAsia="Calibri" w:hAnsi="Calibri" w:cs="Calibri"/>
        <w:b/>
        <w:i w:val="0"/>
        <w:color w:val="FFFFFF"/>
      </w:rPr>
      <w:tblPr/>
      <w:tcPr>
        <w:tcBorders>
          <w:bottom w:val="single" w:sz="24" w:space="0" w:color="FFFFFF"/>
        </w:tcBorders>
        <w:shd w:val="clear" w:color="auto" w:fill="FFAB40"/>
      </w:tcPr>
    </w:tblStylePr>
    <w:tblStylePr w:type="lastRow">
      <w:rPr>
        <w:rFonts w:ascii="Calibri" w:eastAsia="Calibri" w:hAnsi="Calibri" w:cs="Calibri"/>
        <w:b/>
        <w:i w:val="0"/>
        <w:color w:val="FFFFFF"/>
      </w:rPr>
      <w:tblPr/>
      <w:tcPr>
        <w:tcBorders>
          <w:top w:val="single" w:sz="24" w:space="0" w:color="FFFFFF"/>
        </w:tcBorders>
        <w:shd w:val="clear" w:color="auto" w:fill="FFAB40"/>
      </w:tcPr>
    </w:tblStylePr>
    <w:tblStylePr w:type="firstCol">
      <w:rPr>
        <w:rFonts w:ascii="Calibri" w:eastAsia="Calibri" w:hAnsi="Calibri" w:cs="Calibri"/>
        <w:b/>
        <w:i w:val="0"/>
        <w:color w:val="FFFFFF"/>
      </w:rPr>
      <w:tblPr/>
      <w:tcPr>
        <w:shd w:val="clear" w:color="auto" w:fill="FFAB40"/>
      </w:tcPr>
    </w:tblStylePr>
    <w:tblStylePr w:type="lastCol">
      <w:rPr>
        <w:rFonts w:ascii="Calibri" w:eastAsia="Calibri" w:hAnsi="Calibri" w:cs="Calibri"/>
        <w:b/>
        <w:i w:val="0"/>
        <w:color w:val="FFFFFF"/>
      </w:rPr>
      <w:tblPr/>
      <w:tcPr>
        <w:shd w:val="clear" w:color="auto" w:fill="FFAB40"/>
      </w:tcPr>
    </w:tblStylePr>
    <w:tblStylePr w:type="band1Vert">
      <w:tblPr/>
      <w:tcPr>
        <w:shd w:val="clear" w:color="auto" w:fill="CDD4EA"/>
      </w:tcPr>
    </w:tblStylePr>
    <w:tblStylePr w:type="band1Horz">
      <w:tblPr/>
      <w:tcPr>
        <w:shd w:val="clear" w:color="auto" w:fill="CDD4EA"/>
      </w:tcPr>
    </w:tblStyle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AE695F"/>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AE695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medcraveonline.com/FRCIJ/FRCIJ-05-00158.pdf" TargetMode="External"/><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microsoft.com/office/2011/relationships/commentsExtended" Target="commentsExtended.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www.unodc.org/documents/wdr/WDR_2010/2.0_Drug_statistics_and_Trends.pdf"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www.emcdda.europa.eu/publications/drug-use-in-prison-assessment-report_en"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microsoft.com/office/2016/09/relationships/commentsIds" Target="commentsIds.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pdfs.semanticscholar.org/cf75/931b9d9b2b48a883d735e8596d7a83bedbe4.pdf" TargetMode="Externa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5155</Words>
  <Characters>28355</Characters>
  <Application>Microsoft Office Word</Application>
  <DocSecurity>0</DocSecurity>
  <Lines>236</Lines>
  <Paragraphs>66</Paragraphs>
  <ScaleCrop>false</ScaleCrop>
  <Company/>
  <LinksUpToDate>false</LinksUpToDate>
  <CharactersWithSpaces>33444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DAVID BETANCUR NORENA</cp:lastModifiedBy>
  <cp:revision>2</cp:revision>
  <dcterms:created xsi:type="dcterms:W3CDTF">2019-09-08T03:07:00Z</dcterms:created>
  <dcterms:modified xsi:type="dcterms:W3CDTF">2019-09-08T03:07:00Z</dcterms:modified>
</cp:coreProperties>
</file>