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rtl w:val="0"/>
        </w:rPr>
        <w:t xml:space="preserve">EJE APOYO: </w:t>
      </w:r>
      <w:r w:rsidDel="00000000" w:rsidR="00000000" w:rsidRPr="00000000">
        <w:rPr>
          <w:rFonts w:ascii="Arial" w:cs="Arial" w:eastAsia="Arial" w:hAnsi="Arial"/>
          <w:b w:val="1"/>
          <w:rtl w:val="0"/>
        </w:rPr>
        <w:t xml:space="preserve">FINANCIERA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rPr>
      </w:pPr>
      <w:r w:rsidDel="00000000" w:rsidR="00000000" w:rsidRPr="00000000">
        <w:rPr>
          <w:rFonts w:ascii="Arial" w:cs="Arial" w:eastAsia="Arial" w:hAnsi="Arial"/>
          <w:rtl w:val="0"/>
        </w:rPr>
        <w:t xml:space="preserve">La información aquí consignada es producto de las diferentes actividades (grupos focales, talleres, grupo de expertos, minga, activaciones) que se han desarrollado con gran parte de la comunidad universitaria, por tal razón se considera de vital importancia su análisis y discusión toda vez que responde a las percepciones sobre visión de universidad en el marco de la construcción del PDI</w:t>
      </w:r>
      <w:r w:rsidDel="00000000" w:rsidR="00000000" w:rsidRPr="00000000">
        <w:rPr>
          <w:rFonts w:ascii="Arial" w:cs="Arial" w:eastAsia="Arial" w:hAnsi="Arial"/>
          <w:b w:val="1"/>
          <w:rtl w:val="0"/>
        </w:rPr>
        <w:t xml:space="preserve">.</w:t>
      </w:r>
    </w:p>
    <w:p w:rsidR="00000000" w:rsidDel="00000000" w:rsidP="00000000" w:rsidRDefault="00000000" w:rsidRPr="00000000" w14:paraId="00000005">
      <w:pPr>
        <w:spacing w:line="360" w:lineRule="auto"/>
        <w:jc w:val="both"/>
        <w:rPr>
          <w:rFonts w:ascii="Arial" w:cs="Arial" w:eastAsia="Arial" w:hAnsi="Arial"/>
          <w:b w:val="1"/>
        </w:rPr>
      </w:pPr>
      <w:r w:rsidDel="00000000" w:rsidR="00000000" w:rsidRPr="00000000">
        <w:rPr>
          <w:rFonts w:ascii="Arial" w:cs="Arial" w:eastAsia="Arial" w:hAnsi="Arial"/>
          <w:rtl w:val="0"/>
        </w:rPr>
        <w:t xml:space="preserve">La columna “recurrencia” hace referencia al número de veces que fue nombrada la categoría asignada. Lo anterior permite, entre otras, observar las relevancias y opacidades dentro de los discursos emitidos.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tbl>
      <w:tblPr>
        <w:tblStyle w:val="Table1"/>
        <w:tblW w:w="417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1500"/>
        <w:tblGridChange w:id="0">
          <w:tblGrid>
            <w:gridCol w:w="2670"/>
            <w:gridCol w:w="1500"/>
          </w:tblGrid>
        </w:tblGridChange>
      </w:tblGrid>
      <w:tr>
        <w:trPr>
          <w:trHeight w:val="2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FINANCIERO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RECURRENCIA</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Adecuada inversión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Ajuste gasto/ingreso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Compras globales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Cumplimiento pago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Eficiente recursos financiero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Gratuita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adecuada recursos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arte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deporte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ciencia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Mayor presupuesto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16</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Presupuesto para cabildo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Sin presupuesto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Sostenibilidad financiera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bl>
    <w:p w:rsidR="00000000" w:rsidDel="00000000" w:rsidP="00000000" w:rsidRDefault="00000000" w:rsidRPr="00000000" w14:paraId="00000026">
      <w:pPr>
        <w:rPr>
          <w:b w:val="1"/>
          <w:sz w:val="18"/>
          <w:szCs w:val="18"/>
        </w:rPr>
      </w:pPr>
      <w:r w:rsidDel="00000000" w:rsidR="00000000" w:rsidRPr="00000000">
        <w:rPr>
          <w:rtl w:val="0"/>
        </w:rPr>
      </w:r>
    </w:p>
    <w:tbl>
      <w:tblPr>
        <w:tblStyle w:val="Table2"/>
        <w:tblW w:w="41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1500"/>
        <w:tblGridChange w:id="0">
          <w:tblGrid>
            <w:gridCol w:w="2685"/>
            <w:gridCol w:w="1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b w:val="1"/>
                <w:sz w:val="18"/>
                <w:szCs w:val="18"/>
              </w:rPr>
            </w:pPr>
            <w:r w:rsidDel="00000000" w:rsidR="00000000" w:rsidRPr="00000000">
              <w:rPr>
                <w:b w:val="1"/>
                <w:sz w:val="18"/>
                <w:szCs w:val="18"/>
                <w:rtl w:val="0"/>
              </w:rPr>
              <w:t xml:space="preserve">TOTAL MENCIONES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ind w:left="-141.7322834645671" w:right="-65.78740157480354" w:firstLine="0"/>
              <w:rPr>
                <w:b w:val="1"/>
                <w:sz w:val="18"/>
                <w:szCs w:val="18"/>
              </w:rPr>
            </w:pPr>
            <w:r w:rsidDel="00000000" w:rsidR="00000000" w:rsidRPr="00000000">
              <w:rPr>
                <w:b w:val="1"/>
                <w:sz w:val="18"/>
                <w:szCs w:val="18"/>
                <w:rtl w:val="0"/>
              </w:rPr>
              <w:t xml:space="preserve">          33</w:t>
            </w:r>
          </w:p>
        </w:tc>
      </w:tr>
    </w:tbl>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Adecuada inversión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smallCaps w:val="0"/>
          <w:rtl w:val="0"/>
        </w:rPr>
        <w:t xml:space="preserve">(GFEX-AD/IN)Equilibrio en lo apropiado y lo requerido. Cero faltante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(GFEX-AD/IN)Intervención planificada de infraestructura. Compras globales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Ajuste gasto/ingreso</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(GFEX-AD/IN)Cada gasto relacionado con un ingreso específico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Compras globales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(GFEX-AD/IN)Intervención planificada de infraestructura. Compras globales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Cumplimiento pago</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(A3EX1)Mejor planta física y cumplimiento en el pago a profesores y administrativos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Eficiente recursos financiero</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(GFEX-AD/IN)Uso más eficiente del recurso físico, financiero y humano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Gratuita</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(A1P17)Pública, abierta, gratuita y sustentada presupuestalmente por el gobierno, generando procesos igualitarios entre las ciencia y el arte y consolidando la investigación, creación.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Inversión adecuada recursos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(A5ES33)Espero que sea absolutamente ordenada y que tenga la capacidad económica estable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(A5ES27)Que tenga mucho más espacio, más herramientas de trabajo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Inversión arte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(A3EX4)Involucra la creación, arte, conocimiento y tecnología</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A3AD6)Con apoyo a la cultura, la investigación y las artes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Inversión deporte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smallCaps w:val="0"/>
          <w:rtl w:val="0"/>
        </w:rPr>
        <w:t xml:space="preserve">(A3ES37)Implementación de deporte formativo para todas las carreras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A4ES109)Con un mayor desarrollo de infraestructura, material de investigación y centro para deportes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Inversión en ciencia</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(A4ES76)Que se invierta en infraestructura, ciencia y tecnología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Mayor presupuesto</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(A2ES70)Que siga existiendo primeramente, que siga siendo una IE de calidad y pública para todos, que tenga excelentes docentes y que todas sus carreras sean acreditadas, que no tenga déficit en su funcionamiento. Instalaciones adecuadas.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(A4ES34)Que no tenga problemas económicos por culpa del estado. Que integre nuevas personas y el número de personas que puede entrar a la universidad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(A4ES22)Que haya una amplia oferta académica, que tenga más ayudas de bienestar universitario, que ya no haya déficit de dinero, que se arregle el tema de contratación de docente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(A1P21)Con mayores recursos.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(A1AD29)Con respaldo financiero del estado. Que la calidad sea consecuente con lo que dice la acreditación. Con visionarios y líderes ojalá sin orientación política</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(A5ES35)Que se tenga mayor presupuesto y poder lograr una integración con la escuela de Bellas Artes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(A1AD43)con más infraestructura fìsica, con más espacios de estancia, con más recursos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(A4AD12)Una institución con una administración responsable y comprometida para ayudar el déficit presupuestal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(TES2)Si se realizan cambios importantes se puede visualizar como una U financiada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smallCaps w:val="0"/>
          <w:rtl w:val="0"/>
        </w:rPr>
        <w:t xml:space="preserve">(A2ES68)Financiera, estable, competente.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(A5ES28)Que tengan a artes plásticas, que tenga más presupuesto, que haya más ayudas y más becas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(A2ES50)Con un buen presupuesto</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(A2ES44)Mejor dotada, con líneas de investigación más definidas, más presente en la región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(A2ES77)Que haya superado el déficit presupuestal</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(A2ES43)Financiada, con buena infraestructura, sin déficit presupuestal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(A4ES87)Fuerte en investigación, economía estable, con recursos tecnológicos y acreditada de alta calidad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Presupuesto para cabildo</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 </w:t>
      </w:r>
      <w:r w:rsidDel="00000000" w:rsidR="00000000" w:rsidRPr="00000000">
        <w:rPr>
          <w:rFonts w:ascii="Arial" w:cs="Arial" w:eastAsia="Arial" w:hAnsi="Arial"/>
          <w:smallCaps w:val="0"/>
          <w:rtl w:val="0"/>
        </w:rPr>
        <w:t xml:space="preserve">la Universidad de Caldas designe un presupuesto y sea garante para la buena gestión por parte del CIU-Manizales que permita la realización de dichas actividades a cabalidad.</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Sin presupuesto</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(TES2)Si no se cambia nada será una U privada, en </w:t>
      </w:r>
      <w:r w:rsidDel="00000000" w:rsidR="00000000" w:rsidRPr="00000000">
        <w:rPr>
          <w:rFonts w:ascii="Arial" w:cs="Arial" w:eastAsia="Arial" w:hAnsi="Arial"/>
          <w:rtl w:val="0"/>
        </w:rPr>
        <w:t xml:space="preserve">banca-rota</w:t>
      </w:r>
      <w:r w:rsidDel="00000000" w:rsidR="00000000" w:rsidRPr="00000000">
        <w:rPr>
          <w:rFonts w:ascii="Arial" w:cs="Arial" w:eastAsia="Arial" w:hAnsi="Arial"/>
          <w:smallCaps w:val="0"/>
          <w:rtl w:val="0"/>
        </w:rPr>
        <w:t xml:space="preserve">, mucho más precaria, cerrada, sin programas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Sostenibilidad financiera</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(A1AD35)Universidad pública con sostenibilidad financiera, posicionada como siempre dentro de las más altas, con mayor intercambio extranjero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hC65pTOo0I6PU6vhE8kCl4tCA==">AMUW2mXbK1/vSIks+CMKcVm8vB8n9pS1v31OMoYhgS1XdCfv2Fv7jKQt/5JmZO8oK/ZFrNgigScHdLzjyrL8NjxCq0+IeGsZy1C/LtjpNrHafCC7+FavfNY=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